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C42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 xml:space="preserve">АДМИНИСТРАЦИЯ </w:t>
      </w: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Ерышевского</w:t>
      </w:r>
      <w:r>
        <w:rPr>
          <w:rStyle w:val="C3"/>
          <w:b w:val="1"/>
          <w:sz w:val="26"/>
        </w:rPr>
        <w:t xml:space="preserve"> СЕЛЬСКОГО</w:t>
      </w:r>
      <w:r>
        <w:rPr>
          <w:rStyle w:val="C3"/>
          <w:b w:val="1"/>
          <w:sz w:val="26"/>
        </w:rPr>
        <w:t xml:space="preserve"> ПОСЕЛЕНИЯ </w:t>
      </w: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ПАВЛОВСКОГО МУНИЦИПАЛЬНОГО РАЙОНА</w:t>
      </w: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ВОРОНЕЖСКОЙ ОБЛАСТИ</w:t>
      </w:r>
    </w:p>
    <w:p>
      <w:pPr>
        <w:pStyle w:val="P1"/>
        <w:jc w:val="center"/>
        <w:rPr>
          <w:rStyle w:val="C3"/>
          <w:b w:val="1"/>
          <w:sz w:val="26"/>
        </w:rPr>
      </w:pP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32"/>
        </w:rPr>
        <w:t>П О С Т А Н О В Л Е Н И Е</w:t>
      </w:r>
    </w:p>
    <w:p>
      <w:pPr>
        <w:pStyle w:val="P1"/>
        <w:jc w:val="center"/>
        <w:rPr>
          <w:rStyle w:val="C3"/>
          <w:b w:val="1"/>
          <w:sz w:val="26"/>
        </w:rPr>
      </w:pPr>
    </w:p>
    <w:p>
      <w:pPr>
        <w:pStyle w:val="P1"/>
        <w:jc w:val="both"/>
        <w:rPr>
          <w:rStyle w:val="C3"/>
          <w:sz w:val="26"/>
        </w:rPr>
      </w:pPr>
      <w:r>
        <w:rPr>
          <w:rStyle w:val="C3"/>
          <w:sz w:val="26"/>
          <w:u w:val="single"/>
        </w:rPr>
        <w:t xml:space="preserve">От   </w:t>
      </w:r>
      <w:r>
        <w:rPr>
          <w:rStyle w:val="C3"/>
          <w:sz w:val="26"/>
          <w:u w:val="single"/>
        </w:rPr>
        <w:t>21</w:t>
      </w:r>
      <w:r>
        <w:rPr>
          <w:rStyle w:val="C3"/>
          <w:sz w:val="26"/>
          <w:u w:val="single"/>
        </w:rPr>
        <w:t xml:space="preserve">.11.2022  №5</w:t>
      </w:r>
      <w:r>
        <w:rPr>
          <w:rStyle w:val="C3"/>
          <w:sz w:val="26"/>
          <w:u w:val="single"/>
        </w:rPr>
        <w:t>9</w:t>
      </w:r>
      <w:r>
        <w:rPr>
          <w:rStyle w:val="C3"/>
          <w:sz w:val="26"/>
          <w:u w:val="single"/>
        </w:rPr>
        <w:t xml:space="preserve">  </w:t>
      </w:r>
    </w:p>
    <w:p>
      <w:pPr>
        <w:pStyle w:val="P1"/>
        <w:jc w:val="both"/>
        <w:rPr>
          <w:rStyle w:val="C3"/>
        </w:rPr>
      </w:pPr>
      <w:r>
        <w:rPr>
          <w:rStyle w:val="C3"/>
          <w:sz w:val="26"/>
        </w:rPr>
        <w:t xml:space="preserve">   с.</w:t>
      </w:r>
      <w:r>
        <w:rPr>
          <w:rStyle w:val="C3"/>
          <w:sz w:val="26"/>
        </w:rPr>
        <w:t>Ерышевка</w:t>
      </w:r>
    </w:p>
    <w:p>
      <w:pPr>
        <w:pStyle w:val="P22"/>
        <w:ind w:firstLine="0" w:right="4138"/>
        <w:jc w:val="both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Об утверждении </w:t>
      </w:r>
      <w:r>
        <w:rPr>
          <w:rStyle w:val="C3"/>
          <w:rFonts w:ascii="Times New Roman" w:hAnsi="Times New Roman"/>
          <w:b w:val="0"/>
          <w:sz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Style w:val="C3"/>
          <w:rFonts w:ascii="Times New Roman" w:hAnsi="Times New Roman"/>
          <w:b w:val="0"/>
          <w:sz w:val="28"/>
        </w:rPr>
        <w:t>Ерышевского</w:t>
      </w:r>
      <w:r>
        <w:rPr>
          <w:rStyle w:val="C3"/>
          <w:rFonts w:ascii="Times New Roman" w:hAnsi="Times New Roman"/>
          <w:b w:val="0"/>
          <w:sz w:val="28"/>
        </w:rPr>
        <w:t xml:space="preserve"> </w:t>
      </w:r>
      <w:r>
        <w:rPr>
          <w:rStyle w:val="C3"/>
          <w:rFonts w:ascii="Times New Roman" w:hAnsi="Times New Roman"/>
          <w:b w:val="0"/>
          <w:sz w:val="28"/>
        </w:rPr>
        <w:t xml:space="preserve">сельского поселения </w:t>
      </w:r>
      <w:r>
        <w:rPr>
          <w:rStyle w:val="C3"/>
          <w:rFonts w:ascii="Times New Roman" w:hAnsi="Times New Roman"/>
          <w:b w:val="0"/>
          <w:sz w:val="28"/>
        </w:rPr>
        <w:t>Павловского</w:t>
      </w:r>
      <w:r>
        <w:rPr>
          <w:rStyle w:val="C3"/>
          <w:rFonts w:ascii="Times New Roman" w:hAnsi="Times New Roman"/>
          <w:b w:val="0"/>
          <w:sz w:val="28"/>
        </w:rPr>
        <w:t xml:space="preserve"> муниципального района Воронежской области</w:t>
      </w:r>
      <w:r>
        <w:rPr>
          <w:rStyle w:val="C3"/>
          <w:rFonts w:ascii="Times New Roman" w:hAnsi="Times New Roman"/>
          <w:b w:val="0"/>
          <w:sz w:val="28"/>
        </w:rPr>
        <w:t xml:space="preserve"> на 2023 год</w:t>
      </w:r>
    </w:p>
    <w:p>
      <w:pPr>
        <w:pStyle w:val="P22"/>
        <w:spacing w:before="0" w:after="0"/>
        <w:ind w:firstLine="0" w:right="5102"/>
        <w:jc w:val="left"/>
        <w:rPr>
          <w:rStyle w:val="C3"/>
          <w:rFonts w:ascii="Times New Roman" w:hAnsi="Times New Roman"/>
          <w:sz w:val="26"/>
        </w:rPr>
      </w:pPr>
    </w:p>
    <w:p>
      <w:pPr>
        <w:pStyle w:val="P9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>
        <w:rPr>
          <w:rStyle w:val="C15"/>
          <w:i w:val="0"/>
          <w:sz w:val="26"/>
          <w:shd w:val="clear" w:fill="FFFFFF"/>
        </w:rPr>
        <w:t>постановлением Правительства</w:t>
      </w:r>
      <w:r>
        <w:rPr>
          <w:rStyle w:val="C15"/>
          <w:i w:val="0"/>
          <w:sz w:val="26"/>
          <w:shd w:val="clear" w:fill="FFFFFF"/>
        </w:rPr>
        <w:t xml:space="preserve"> </w:t>
      </w:r>
      <w:r>
        <w:rPr>
          <w:rStyle w:val="C3"/>
          <w:sz w:val="26"/>
          <w:shd w:val="clear" w:fill="FFFFFF"/>
        </w:rPr>
        <w:t xml:space="preserve">Российской Федерации от 25.06.2021 № </w:t>
      </w:r>
      <w:r>
        <w:rPr>
          <w:rStyle w:val="C15"/>
          <w:i w:val="0"/>
          <w:sz w:val="26"/>
          <w:shd w:val="clear" w:fill="FFFFFF"/>
        </w:rPr>
        <w:t>990 «</w:t>
      </w:r>
      <w:r>
        <w:rPr>
          <w:rStyle w:val="C3"/>
          <w:sz w:val="26"/>
          <w:shd w:val="clear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C3"/>
          <w:sz w:val="26"/>
        </w:rPr>
        <w:t xml:space="preserve">, администрация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</w:t>
      </w:r>
    </w:p>
    <w:p>
      <w:pPr>
        <w:pStyle w:val="P9"/>
        <w:ind w:firstLine="708"/>
        <w:jc w:val="both"/>
        <w:rPr>
          <w:rStyle w:val="C3"/>
          <w:sz w:val="26"/>
        </w:rPr>
      </w:pPr>
    </w:p>
    <w:p>
      <w:pPr>
        <w:pStyle w:val="P9"/>
        <w:jc w:val="center"/>
        <w:rPr>
          <w:rStyle w:val="C3"/>
          <w:b w:val="1"/>
          <w:sz w:val="26"/>
        </w:rPr>
      </w:pPr>
      <w:r>
        <w:rPr>
          <w:rStyle w:val="C3"/>
          <w:sz w:val="26"/>
        </w:rPr>
        <w:t>ПОСТАНОВЛЯЕТ:</w:t>
      </w:r>
    </w:p>
    <w:p>
      <w:pPr>
        <w:pStyle w:val="P9"/>
        <w:jc w:val="both"/>
        <w:rPr>
          <w:rStyle w:val="C3"/>
          <w:sz w:val="26"/>
        </w:rPr>
      </w:pPr>
    </w:p>
    <w:p>
      <w:pPr>
        <w:pStyle w:val="P9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Павловского муниципального района Воронежской области  на 2023 год согласно приложению.</w:t>
      </w:r>
    </w:p>
    <w:p>
      <w:pPr>
        <w:pStyle w:val="P9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и разместить на официальном сайте администрации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в сети Интернет. </w:t>
      </w:r>
    </w:p>
    <w:p>
      <w:pPr>
        <w:pStyle w:val="P9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3. Настоящее постановление вступает в силу с 1 января 2023 года.</w:t>
      </w:r>
    </w:p>
    <w:p>
      <w:pPr>
        <w:pStyle w:val="P9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4. Контроль за исполнением настоящего постановления оставляю за собой.</w:t>
      </w:r>
    </w:p>
    <w:p>
      <w:pPr>
        <w:pStyle w:val="P5"/>
        <w:jc w:val="both"/>
        <w:rPr>
          <w:rStyle w:val="C3"/>
        </w:rPr>
      </w:pPr>
    </w:p>
    <w:p>
      <w:pPr>
        <w:pStyle w:val="P5"/>
        <w:jc w:val="both"/>
        <w:rPr>
          <w:rStyle w:val="C3"/>
        </w:rPr>
      </w:pPr>
    </w:p>
    <w:p>
      <w:pPr>
        <w:pStyle w:val="P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Глава      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   сельского</w:t>
      </w:r>
    </w:p>
    <w:p>
      <w:pPr>
        <w:pStyle w:val="P5"/>
        <w:jc w:val="both"/>
        <w:rPr>
          <w:rStyle w:val="C3"/>
          <w:sz w:val="26"/>
        </w:rPr>
      </w:pPr>
      <w:r>
        <w:rPr>
          <w:rStyle w:val="C3"/>
          <w:sz w:val="26"/>
        </w:rPr>
        <w:t>поселения Павловского муниципального</w:t>
      </w:r>
    </w:p>
    <w:p>
      <w:pPr>
        <w:pStyle w:val="P5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района              Воронежской       области                                           </w:t>
      </w:r>
      <w:r>
        <w:rPr>
          <w:rStyle w:val="C3"/>
          <w:sz w:val="26"/>
        </w:rPr>
        <w:t>Т.П.Быкова</w:t>
      </w:r>
      <w:r>
        <w:rPr>
          <w:rStyle w:val="C3"/>
          <w:sz w:val="26"/>
        </w:rPr>
        <w:t xml:space="preserve"> </w:t>
      </w:r>
    </w:p>
    <w:p>
      <w:pPr>
        <w:pStyle w:val="P5"/>
        <w:jc w:val="both"/>
        <w:rPr>
          <w:rStyle w:val="C3"/>
        </w:rPr>
      </w:pPr>
    </w:p>
    <w:p>
      <w:pPr>
        <w:pStyle w:val="P5"/>
        <w:jc w:val="both"/>
        <w:rPr>
          <w:rStyle w:val="C3"/>
        </w:rPr>
      </w:pPr>
    </w:p>
    <w:p>
      <w:pPr>
        <w:pStyle w:val="P5"/>
        <w:jc w:val="both"/>
        <w:rPr>
          <w:rStyle w:val="C3"/>
        </w:rPr>
      </w:pPr>
    </w:p>
    <w:p>
      <w:pPr>
        <w:pStyle w:val="P9"/>
        <w:ind w:left="5103"/>
        <w:rPr>
          <w:rStyle w:val="C3"/>
          <w:sz w:val="24"/>
        </w:rPr>
      </w:pPr>
    </w:p>
    <w:p>
      <w:pPr>
        <w:pStyle w:val="P9"/>
        <w:ind w:left="5103"/>
        <w:rPr>
          <w:rStyle w:val="C3"/>
          <w:sz w:val="24"/>
        </w:rPr>
      </w:pPr>
      <w:r>
        <w:rPr>
          <w:rStyle w:val="C3"/>
          <w:sz w:val="24"/>
        </w:rPr>
        <w:t xml:space="preserve">Приложение </w:t>
      </w:r>
    </w:p>
    <w:p>
      <w:pPr>
        <w:pStyle w:val="P9"/>
        <w:ind w:left="5103"/>
        <w:rPr>
          <w:rStyle w:val="C3"/>
          <w:sz w:val="24"/>
        </w:rPr>
      </w:pPr>
      <w:r>
        <w:rPr>
          <w:rStyle w:val="C3"/>
          <w:sz w:val="24"/>
        </w:rPr>
        <w:t xml:space="preserve">к постановлению администрации </w:t>
      </w:r>
      <w:r>
        <w:rPr>
          <w:rStyle w:val="C3"/>
          <w:sz w:val="24"/>
        </w:rPr>
        <w:t>Ерышевского</w:t>
      </w:r>
      <w:r>
        <w:rPr>
          <w:rStyle w:val="C3"/>
          <w:sz w:val="24"/>
        </w:rPr>
        <w:t xml:space="preserve"> сельского поселения </w:t>
      </w:r>
    </w:p>
    <w:p>
      <w:pPr>
        <w:pStyle w:val="P1"/>
        <w:ind w:left="5103"/>
        <w:rPr>
          <w:rStyle w:val="C3"/>
          <w:b w:val="1"/>
        </w:rPr>
      </w:pPr>
      <w:r>
        <w:t xml:space="preserve">от </w:t>
      </w:r>
      <w:r>
        <w:t>21</w:t>
      </w:r>
      <w:r>
        <w:t xml:space="preserve">.11.2022  №5</w:t>
      </w:r>
      <w:r>
        <w:t>9</w:t>
      </w:r>
      <w:r>
        <w:t xml:space="preserve">   </w:t>
      </w:r>
    </w:p>
    <w:p>
      <w:pPr>
        <w:pStyle w:val="P1"/>
        <w:jc w:val="center"/>
        <w:rPr>
          <w:rStyle w:val="C3"/>
          <w:b w:val="1"/>
          <w:sz w:val="28"/>
        </w:rPr>
      </w:pP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 xml:space="preserve">Программа </w:t>
      </w: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Style w:val="C3"/>
          <w:b w:val="1"/>
          <w:sz w:val="26"/>
        </w:rPr>
        <w:t xml:space="preserve">при осуществлении </w:t>
      </w:r>
      <w:r>
        <w:rPr>
          <w:rStyle w:val="C3"/>
          <w:b w:val="1"/>
          <w:sz w:val="26"/>
        </w:rPr>
        <w:t>муниципального контроля в сфере благоустройства</w:t>
      </w:r>
      <w:r>
        <w:rPr>
          <w:rStyle w:val="C3"/>
          <w:b w:val="1"/>
          <w:sz w:val="26"/>
        </w:rPr>
        <w:t xml:space="preserve"> на территории </w:t>
      </w:r>
      <w:r>
        <w:rPr>
          <w:rStyle w:val="C3"/>
          <w:b w:val="1"/>
          <w:sz w:val="26"/>
        </w:rPr>
        <w:t>Ерышевского</w:t>
      </w:r>
      <w:r>
        <w:rPr>
          <w:rStyle w:val="C3"/>
          <w:b w:val="1"/>
          <w:sz w:val="26"/>
        </w:rPr>
        <w:t xml:space="preserve"> </w:t>
      </w:r>
      <w:r>
        <w:rPr>
          <w:rStyle w:val="C3"/>
          <w:b w:val="1"/>
          <w:sz w:val="26"/>
        </w:rPr>
        <w:t xml:space="preserve">сельского поселения </w:t>
      </w:r>
      <w:r>
        <w:rPr>
          <w:rStyle w:val="C3"/>
          <w:b w:val="1"/>
          <w:sz w:val="26"/>
        </w:rPr>
        <w:t>Павловского</w:t>
      </w:r>
      <w:r>
        <w:rPr>
          <w:rStyle w:val="C3"/>
          <w:b w:val="1"/>
          <w:sz w:val="26"/>
        </w:rPr>
        <w:t xml:space="preserve"> муниципального района Воронежской области</w:t>
      </w:r>
    </w:p>
    <w:p>
      <w:pPr>
        <w:pStyle w:val="P1"/>
        <w:jc w:val="center"/>
        <w:rPr>
          <w:rStyle w:val="C3"/>
          <w:i w:val="1"/>
          <w:sz w:val="26"/>
        </w:rPr>
      </w:pPr>
      <w:r>
        <w:rPr>
          <w:rStyle w:val="C3"/>
          <w:b w:val="1"/>
          <w:sz w:val="26"/>
        </w:rPr>
        <w:t>на 2023 год</w:t>
      </w:r>
    </w:p>
    <w:p>
      <w:pPr>
        <w:pStyle w:val="P1"/>
        <w:ind w:firstLine="709"/>
        <w:jc w:val="both"/>
        <w:rPr>
          <w:rStyle w:val="C3"/>
          <w:sz w:val="26"/>
        </w:rPr>
      </w:pPr>
    </w:p>
    <w:p>
      <w:pPr>
        <w:pStyle w:val="P1"/>
        <w:ind w:firstLine="708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1</w:t>
      </w:r>
      <w:r>
        <w:rPr>
          <w:rStyle w:val="C3"/>
          <w:b w:val="1"/>
          <w:sz w:val="26"/>
        </w:rPr>
        <w:t>.</w:t>
      </w:r>
      <w:r>
        <w:rPr>
          <w:rStyle w:val="C3"/>
          <w:b w:val="1"/>
          <w:sz w:val="26"/>
        </w:rPr>
        <w:t xml:space="preserve"> </w:t>
      </w:r>
      <w:r>
        <w:rPr>
          <w:rStyle w:val="C3"/>
          <w:b w:val="1"/>
          <w:sz w:val="26"/>
        </w:rPr>
        <w:t xml:space="preserve">Анализ текущего состояния </w:t>
      </w:r>
      <w:r>
        <w:rPr>
          <w:rStyle w:val="C3"/>
          <w:b w:val="1"/>
          <w:sz w:val="26"/>
        </w:rPr>
        <w:t>осуществления</w:t>
      </w:r>
      <w:r>
        <w:rPr>
          <w:rStyle w:val="C3"/>
          <w:b w:val="1"/>
          <w:sz w:val="26"/>
        </w:rPr>
        <w:t xml:space="preserve"> </w:t>
      </w:r>
      <w:r>
        <w:rPr>
          <w:rStyle w:val="C3"/>
          <w:b w:val="1"/>
          <w:sz w:val="26"/>
        </w:rPr>
        <w:t>муниципального</w:t>
      </w:r>
      <w:r>
        <w:rPr>
          <w:rStyle w:val="C3"/>
          <w:b w:val="1"/>
          <w:sz w:val="26"/>
        </w:rPr>
        <w:t xml:space="preserve"> контроля в сфере благоустройства</w:t>
      </w:r>
    </w:p>
    <w:p>
      <w:pPr>
        <w:pStyle w:val="P1"/>
        <w:ind w:firstLine="708"/>
        <w:jc w:val="center"/>
        <w:rPr>
          <w:rStyle w:val="C3"/>
          <w:b w:val="1"/>
          <w:sz w:val="26"/>
        </w:rPr>
      </w:pP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Павловского муниципального района Воронежской области на 2023 год (далее – Программа профилактики), определяет порядок проведения администрацией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(далее – контрольный орган). 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Предметом муниципального контроля в сфере благоустройства является: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 сельского поселения Павловского муниципального района Воронежской области, утвержденными решением Совета народных депутатов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 сельского поселения Павловского муниципального района Воронежской области от </w:t>
      </w:r>
      <w:r>
        <w:rPr>
          <w:rStyle w:val="C3"/>
          <w:sz w:val="26"/>
        </w:rPr>
        <w:t>30</w:t>
      </w:r>
      <w:r>
        <w:rPr>
          <w:rStyle w:val="C3"/>
          <w:sz w:val="26"/>
        </w:rPr>
        <w:t>.</w:t>
      </w:r>
      <w:r>
        <w:rPr>
          <w:rStyle w:val="C3"/>
          <w:sz w:val="26"/>
        </w:rPr>
        <w:t>07</w:t>
      </w:r>
      <w:r>
        <w:rPr>
          <w:rStyle w:val="C3"/>
          <w:sz w:val="26"/>
        </w:rPr>
        <w:t>.2018 № 2</w:t>
      </w:r>
      <w:r>
        <w:rPr>
          <w:rStyle w:val="C3"/>
          <w:sz w:val="26"/>
        </w:rPr>
        <w:t>20</w:t>
      </w:r>
      <w:r>
        <w:rPr>
          <w:rStyle w:val="C3"/>
          <w:sz w:val="26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- </w:t>
      </w:r>
      <w:r>
        <w:rPr>
          <w:rStyle w:val="C19"/>
          <w:sz w:val="26"/>
        </w:rPr>
        <w:t>исполнение решений, принимаемых по результатам контрольных мероприятий.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>
      <w:pPr>
        <w:pStyle w:val="P1"/>
        <w:ind w:firstLine="708"/>
        <w:jc w:val="both"/>
        <w:rPr>
          <w:rStyle w:val="C3"/>
          <w:sz w:val="26"/>
        </w:rPr>
      </w:pPr>
    </w:p>
    <w:p>
      <w:pPr>
        <w:pStyle w:val="P1"/>
        <w:ind w:firstLine="708"/>
        <w:jc w:val="both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1.1. Объекты муниципального контроля в сфере благоустройства</w:t>
      </w:r>
    </w:p>
    <w:p>
      <w:pPr>
        <w:pStyle w:val="P1"/>
        <w:ind w:firstLine="708"/>
        <w:jc w:val="both"/>
        <w:rPr>
          <w:rStyle w:val="C3"/>
          <w:sz w:val="26"/>
        </w:rPr>
      </w:pP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Объектами муниципального контроля в сфере благоустройства являются:</w:t>
      </w:r>
    </w:p>
    <w:p>
      <w:pPr>
        <w:pStyle w:val="P24"/>
        <w:spacing w:before="0" w:after="0" w:beforeAutospacing="0" w:afterAutospacing="0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pStyle w:val="P24"/>
        <w:spacing w:before="0" w:after="0" w:beforeAutospacing="0" w:afterAutospacing="0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>
      <w:pPr>
        <w:pStyle w:val="P1"/>
        <w:widowControl w:val="0"/>
        <w:tabs>
          <w:tab w:val="left" w:pos="0" w:leader="none"/>
        </w:tabs>
        <w:ind w:firstLine="709"/>
        <w:jc w:val="both"/>
        <w:rPr>
          <w:rStyle w:val="C3"/>
          <w:b w:val="1"/>
          <w:sz w:val="26"/>
        </w:rPr>
      </w:pPr>
    </w:p>
    <w:p>
      <w:pPr>
        <w:pStyle w:val="P1"/>
        <w:widowControl w:val="0"/>
        <w:tabs>
          <w:tab w:val="left" w:pos="0" w:leader="none"/>
        </w:tabs>
        <w:ind w:firstLine="709"/>
        <w:jc w:val="both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1.2. Характеристика проблем, на решение которых направлена Программа профилактики</w:t>
      </w:r>
    </w:p>
    <w:p>
      <w:pPr>
        <w:pStyle w:val="P1"/>
        <w:widowControl w:val="0"/>
        <w:tabs>
          <w:tab w:val="left" w:pos="0" w:leader="none"/>
        </w:tabs>
        <w:ind w:firstLine="709"/>
        <w:jc w:val="both"/>
        <w:rPr>
          <w:rStyle w:val="C3"/>
          <w:sz w:val="26"/>
        </w:rPr>
      </w:pPr>
    </w:p>
    <w:p>
      <w:pPr>
        <w:pStyle w:val="P1"/>
        <w:widowControl w:val="0"/>
        <w:tabs>
          <w:tab w:val="left" w:pos="0" w:leader="none"/>
        </w:tabs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поселения.</w:t>
      </w:r>
    </w:p>
    <w:p>
      <w:pPr>
        <w:pStyle w:val="P1"/>
        <w:widowControl w:val="0"/>
        <w:tabs>
          <w:tab w:val="left" w:pos="0" w:leader="none"/>
        </w:tabs>
        <w:ind w:firstLine="709"/>
        <w:jc w:val="both"/>
        <w:rPr>
          <w:rStyle w:val="C3"/>
          <w:sz w:val="26"/>
        </w:rPr>
      </w:pPr>
    </w:p>
    <w:p>
      <w:pPr>
        <w:pStyle w:val="P1"/>
        <w:ind w:firstLine="709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2</w:t>
      </w:r>
      <w:r>
        <w:rPr>
          <w:rStyle w:val="C3"/>
          <w:b w:val="1"/>
          <w:sz w:val="26"/>
        </w:rPr>
        <w:t>.</w:t>
      </w:r>
      <w:r>
        <w:rPr>
          <w:rStyle w:val="C3"/>
          <w:b w:val="1"/>
          <w:sz w:val="26"/>
        </w:rPr>
        <w:t xml:space="preserve"> </w:t>
      </w:r>
      <w:r>
        <w:rPr>
          <w:rStyle w:val="C3"/>
          <w:b w:val="1"/>
          <w:sz w:val="26"/>
        </w:rPr>
        <w:t>Цели и задачи реализации Программы</w:t>
      </w:r>
      <w:r>
        <w:rPr>
          <w:rStyle w:val="C3"/>
          <w:b w:val="1"/>
          <w:sz w:val="26"/>
        </w:rPr>
        <w:t xml:space="preserve"> профилактики</w:t>
      </w:r>
    </w:p>
    <w:p>
      <w:pPr>
        <w:pStyle w:val="P1"/>
        <w:ind w:firstLine="709"/>
        <w:jc w:val="center"/>
        <w:rPr>
          <w:rStyle w:val="C3"/>
          <w:sz w:val="26"/>
        </w:rPr>
      </w:pP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2.1. Целями проведения профилактических мероприятий являются:</w:t>
      </w:r>
    </w:p>
    <w:p>
      <w:pPr>
        <w:pStyle w:val="P1"/>
        <w:ind w:firstLine="567"/>
        <w:jc w:val="both"/>
        <w:rPr>
          <w:rStyle w:val="C3"/>
          <w:sz w:val="26"/>
        </w:rPr>
      </w:pPr>
      <w:r>
        <w:rPr>
          <w:rStyle w:val="C3"/>
          <w:sz w:val="26"/>
        </w:rPr>
        <w:t>- стимулирование добросовестного соблюдения обязательных требований контролируемыми лицами;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устранение условий, причин и факторов, способных привести к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нарушениям обязательных требований и (или) причинению вреда (ущерба) охраняемым законом ценностям;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разъяснение контролируемым лицам системы обязательных требований;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повышение прозрачности системы осуществления муниципального контроля в сфере благоустройства;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2.2. Основными задачами профилактических мероприятий являются: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создание и внедрение мер системы позитивной профилактики;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>
      <w:pPr>
        <w:pStyle w:val="P1"/>
        <w:shd w:val="clear" w:fill="FFFFFF"/>
        <w:ind w:firstLine="567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</w:p>
    <w:p>
      <w:pPr>
        <w:pStyle w:val="P1"/>
        <w:shd w:val="clear" w:fill="FFFFFF"/>
        <w:jc w:val="center"/>
        <w:rPr>
          <w:rStyle w:val="C3"/>
          <w:b w:val="1"/>
          <w:color w:val="000000"/>
          <w:sz w:val="26"/>
        </w:rPr>
      </w:pPr>
      <w:r>
        <w:rPr>
          <w:rStyle w:val="C3"/>
          <w:b w:val="1"/>
          <w:color w:val="000000"/>
          <w:sz w:val="26"/>
        </w:rPr>
        <w:t>3</w:t>
      </w:r>
      <w:r>
        <w:rPr>
          <w:rStyle w:val="C3"/>
          <w:b w:val="1"/>
          <w:color w:val="000000"/>
          <w:sz w:val="26"/>
        </w:rPr>
        <w:t>. Перечень профилактических мероприятий</w:t>
      </w:r>
    </w:p>
    <w:p>
      <w:pPr>
        <w:pStyle w:val="P1"/>
        <w:shd w:val="clear" w:fill="FFFFFF"/>
        <w:jc w:val="center"/>
        <w:rPr>
          <w:rStyle w:val="C3"/>
          <w:b w:val="1"/>
          <w:color w:val="000000"/>
          <w:sz w:val="26"/>
        </w:rPr>
      </w:pP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3.1. Администрацией проводятся следующие профилактические мероприятия: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информирование;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обобщение правоприменительной практики;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объявление предостережения;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консультирование;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профилактический визит.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3.2. Информирование.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3.3. Обобщение правоприменительной практики.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 xml:space="preserve"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3.3.2. Доклад о правоприменительной практике готовится ежегодно.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Срок подготовки – не позднее 15 февраля года, следующего за отчетным годом.</w:t>
      </w:r>
    </w:p>
    <w:p>
      <w:pPr>
        <w:pStyle w:val="P5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3.3.4.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администрации:</w:t>
      </w:r>
      <w:r>
        <w:rPr>
          <w:rStyle w:val="C3"/>
          <w:color w:val="000000"/>
          <w:sz w:val="26"/>
        </w:rPr>
        <w:t xml:space="preserve"> 3964</w:t>
      </w:r>
      <w:r>
        <w:rPr>
          <w:rStyle w:val="C3"/>
          <w:color w:val="000000"/>
          <w:sz w:val="26"/>
        </w:rPr>
        <w:t>33</w:t>
      </w:r>
      <w:r>
        <w:rPr>
          <w:rStyle w:val="C3"/>
          <w:color w:val="000000"/>
          <w:sz w:val="26"/>
        </w:rPr>
        <w:t xml:space="preserve">, Воронежская область, Павловский район, с. </w:t>
      </w:r>
      <w:r>
        <w:rPr>
          <w:rStyle w:val="C3"/>
          <w:color w:val="000000"/>
          <w:sz w:val="26"/>
        </w:rPr>
        <w:t>Ерышевка</w:t>
      </w:r>
      <w:r>
        <w:rPr>
          <w:rStyle w:val="C3"/>
          <w:color w:val="000000"/>
          <w:sz w:val="26"/>
        </w:rPr>
        <w:t xml:space="preserve">, </w:t>
      </w:r>
      <w:r>
        <w:rPr>
          <w:rStyle w:val="C3"/>
          <w:color w:val="000000"/>
          <w:sz w:val="26"/>
        </w:rPr>
        <w:t>пр. Революции,1а</w:t>
      </w:r>
      <w:r>
        <w:rPr>
          <w:rStyle w:val="C3"/>
          <w:sz w:val="26"/>
        </w:rPr>
        <w:t xml:space="preserve">, тел. (47362) </w:t>
      </w:r>
      <w:r>
        <w:rPr>
          <w:rStyle w:val="C3"/>
          <w:sz w:val="26"/>
        </w:rPr>
        <w:t>5</w:t>
      </w:r>
      <w:r>
        <w:rPr>
          <w:rStyle w:val="C3"/>
          <w:sz w:val="26"/>
        </w:rPr>
        <w:t>3-</w:t>
      </w:r>
      <w:r>
        <w:rPr>
          <w:rStyle w:val="C3"/>
          <w:sz w:val="26"/>
        </w:rPr>
        <w:t>5</w:t>
      </w:r>
      <w:r>
        <w:rPr>
          <w:rStyle w:val="C3"/>
          <w:sz w:val="26"/>
        </w:rPr>
        <w:t>-</w:t>
      </w:r>
      <w:r>
        <w:rPr>
          <w:rStyle w:val="C3"/>
          <w:sz w:val="26"/>
        </w:rPr>
        <w:t>33</w:t>
      </w:r>
      <w:r>
        <w:rPr>
          <w:rStyle w:val="C3"/>
          <w:sz w:val="26"/>
        </w:rPr>
        <w:t xml:space="preserve">, адрес электронной почты: </w:t>
      </w: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72C6"/>
          <w:sz w:val="26"/>
        </w:rPr>
        <w:t>eryshev.pavl@govvrn.ru</w:t>
      </w:r>
      <w:r>
        <w:rPr>
          <w:rFonts w:ascii="Times New Roman" w:hAnsi="Times New Roman"/>
          <w:sz w:val="26"/>
        </w:rPr>
        <w:t xml:space="preserve"> </w:t>
      </w:r>
      <w:r>
        <w:rPr>
          <w:rStyle w:val="C3"/>
          <w:sz w:val="26"/>
        </w:rPr>
        <w:t>, а также посредством официального сайта.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3.4. Объявление предостережения.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r>
        <w:rPr>
          <w:rStyle w:val="C3"/>
          <w:color w:val="000000"/>
          <w:sz w:val="26"/>
        </w:rPr>
        <w:t>Ерышевского</w:t>
      </w:r>
      <w:r>
        <w:rPr>
          <w:rStyle w:val="C3"/>
          <w:color w:val="000000"/>
          <w:sz w:val="26"/>
        </w:rPr>
        <w:t xml:space="preserve"> сельского поселения не позднее 30 дней со дня получения указанных сведений.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 xml:space="preserve">3.4.4. В случае принятия представленных в возражении контролируемого лица доводов глава </w:t>
      </w:r>
      <w:r>
        <w:rPr>
          <w:rStyle w:val="C3"/>
          <w:color w:val="000000"/>
          <w:sz w:val="26"/>
        </w:rPr>
        <w:t>Ерышевского</w:t>
      </w:r>
      <w:r>
        <w:rPr>
          <w:rStyle w:val="C3"/>
          <w:color w:val="000000"/>
          <w:sz w:val="26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При несогласии с возражением указываются соответствующие обоснования.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 Консультирование.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3.5.2. Консультирование может осуществляться должностным лицом</w:t>
      </w:r>
    </w:p>
    <w:p>
      <w:pPr>
        <w:pStyle w:val="P1"/>
        <w:shd w:val="clear" w:fill="FFFFFF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 xml:space="preserve">3.5.3 Личный прием граждан проводится главой </w:t>
      </w:r>
      <w:r>
        <w:rPr>
          <w:rStyle w:val="C3"/>
          <w:color w:val="000000"/>
          <w:sz w:val="26"/>
        </w:rPr>
        <w:t>Ерышевского</w:t>
      </w:r>
      <w:r>
        <w:rPr>
          <w:rStyle w:val="C3"/>
          <w:color w:val="000000"/>
          <w:sz w:val="26"/>
        </w:rPr>
        <w:t xml:space="preserve">  сельского поселения.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3.5.4. Консультирование в устной и письменной формах осуществляется по следующим вопросам: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организация и осуществление муниципального контроля в сфере благоустройства;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порядок осуществления контрольных мероприятий;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3.5.6. Консультирование в письменной форме осуществляется должностным лицом администрации в следующих случаях: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за время, отведенное для консультирования, предоставить ответ на поставленные вопросы невозможно;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- ответ на поставленные вопросы требует дополнительного запроса сведений от органов власти или иных лиц.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>
      <w:pPr>
        <w:pStyle w:val="P1"/>
        <w:shd w:val="clear" w:fill="FFFFFF"/>
        <w:ind w:firstLine="708"/>
        <w:jc w:val="both"/>
        <w:rPr>
          <w:rStyle w:val="C3"/>
          <w:color w:val="000000"/>
          <w:sz w:val="26"/>
        </w:rPr>
      </w:pPr>
      <w:r>
        <w:rPr>
          <w:rStyle w:val="C3"/>
          <w:color w:val="000000"/>
          <w:sz w:val="26"/>
        </w:rPr>
        <w:t xml:space="preserve">3.5.10. Консультирование проводится администрацией по вторникам и четвергам с 14.00 до 16.00; телефон: (47362) </w:t>
      </w:r>
      <w:r>
        <w:rPr>
          <w:rStyle w:val="C3"/>
          <w:color w:val="000000"/>
          <w:sz w:val="26"/>
        </w:rPr>
        <w:t>5</w:t>
      </w:r>
      <w:r>
        <w:rPr>
          <w:rStyle w:val="C3"/>
          <w:color w:val="000000"/>
          <w:sz w:val="26"/>
        </w:rPr>
        <w:t>3-</w:t>
      </w:r>
      <w:r>
        <w:rPr>
          <w:rStyle w:val="C3"/>
          <w:color w:val="000000"/>
          <w:sz w:val="26"/>
        </w:rPr>
        <w:t>5</w:t>
      </w:r>
      <w:r>
        <w:rPr>
          <w:rStyle w:val="C3"/>
          <w:color w:val="000000"/>
          <w:sz w:val="26"/>
        </w:rPr>
        <w:t>-</w:t>
      </w:r>
      <w:r>
        <w:rPr>
          <w:rStyle w:val="C3"/>
          <w:color w:val="000000"/>
          <w:sz w:val="26"/>
        </w:rPr>
        <w:t>33</w:t>
      </w:r>
      <w:r>
        <w:rPr>
          <w:rStyle w:val="C3"/>
          <w:color w:val="000000"/>
          <w:sz w:val="26"/>
        </w:rPr>
        <w:t>; местонахождение: 3964</w:t>
      </w:r>
      <w:r>
        <w:rPr>
          <w:rStyle w:val="C3"/>
          <w:color w:val="000000"/>
          <w:sz w:val="26"/>
        </w:rPr>
        <w:t>33</w:t>
      </w:r>
      <w:r>
        <w:rPr>
          <w:rStyle w:val="C3"/>
          <w:color w:val="000000"/>
          <w:sz w:val="26"/>
        </w:rPr>
        <w:t xml:space="preserve">, Воронежская область, Павловский район, с. </w:t>
      </w:r>
      <w:r>
        <w:rPr>
          <w:rStyle w:val="C3"/>
          <w:color w:val="000000"/>
          <w:sz w:val="26"/>
        </w:rPr>
        <w:t>Ерышевка</w:t>
      </w:r>
      <w:r>
        <w:rPr>
          <w:rStyle w:val="C3"/>
          <w:color w:val="000000"/>
          <w:sz w:val="26"/>
        </w:rPr>
        <w:t xml:space="preserve">, </w:t>
      </w:r>
      <w:r>
        <w:rPr>
          <w:rStyle w:val="C3"/>
          <w:color w:val="000000"/>
          <w:sz w:val="26"/>
        </w:rPr>
        <w:t>пр. Революции,1а</w:t>
      </w:r>
      <w:r>
        <w:rPr>
          <w:rStyle w:val="C3"/>
          <w:color w:val="000000"/>
          <w:sz w:val="26"/>
        </w:rPr>
        <w:t xml:space="preserve">,   адрес электронной почты: </w:t>
      </w:r>
      <w:bookmarkStart w:id="1" w:name="_dx_frag_StartFragment"/>
      <w:bookmarkEnd w:id="1"/>
      <w:r>
        <w:rPr>
          <w:color w:val="0072C6"/>
          <w:sz w:val="26"/>
        </w:rPr>
        <w:t>eryshev.pavl@govvrn.ru</w:t>
      </w:r>
      <w:r>
        <w:rPr>
          <w:rStyle w:val="C3"/>
          <w:color w:val="000000"/>
          <w:sz w:val="26"/>
        </w:rPr>
        <w:t>.</w:t>
      </w:r>
    </w:p>
    <w:p>
      <w:pPr>
        <w:pStyle w:val="P23"/>
        <w:spacing w:before="0" w:after="0" w:beforeAutospacing="0" w:afterAutospacing="0"/>
        <w:ind w:left="709"/>
        <w:rPr>
          <w:rStyle w:val="C3"/>
          <w:sz w:val="26"/>
        </w:rPr>
      </w:pPr>
      <w:r>
        <w:rPr>
          <w:rStyle w:val="C19"/>
          <w:sz w:val="26"/>
        </w:rPr>
        <w:t xml:space="preserve">3.6 </w:t>
      </w:r>
      <w:r>
        <w:rPr>
          <w:rStyle w:val="C3"/>
          <w:sz w:val="26"/>
        </w:rPr>
        <w:t>Профилактический визит</w:t>
      </w: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>
      <w:pPr>
        <w:pStyle w:val="P1"/>
        <w:ind w:firstLine="708"/>
        <w:jc w:val="both"/>
        <w:rPr>
          <w:rStyle w:val="C3"/>
          <w:sz w:val="26"/>
        </w:rPr>
      </w:pPr>
      <w:r>
        <w:rPr>
          <w:rStyle w:val="C3"/>
          <w:sz w:val="26"/>
        </w:rPr>
        <w:t xml:space="preserve">3.6.4.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r>
        <w:rPr>
          <w:rStyle w:val="C3"/>
          <w:sz w:val="26"/>
        </w:rPr>
        <w:t>Ерышевского</w:t>
      </w:r>
      <w:r>
        <w:rPr>
          <w:rStyle w:val="C3"/>
          <w:sz w:val="26"/>
        </w:rPr>
        <w:t xml:space="preserve"> сельского поселения для принятия решения о проведении контрольных (надзорных) мероприятий.</w:t>
      </w:r>
    </w:p>
    <w:p>
      <w:pPr>
        <w:pStyle w:val="P1"/>
        <w:shd w:val="clear" w:fill="FFFFFF"/>
        <w:jc w:val="center"/>
        <w:rPr>
          <w:rStyle w:val="C3"/>
          <w:b w:val="1"/>
          <w:color w:val="000000"/>
          <w:sz w:val="26"/>
        </w:rPr>
      </w:pPr>
      <w:r>
        <w:rPr>
          <w:rStyle w:val="C3"/>
          <w:b w:val="1"/>
          <w:color w:val="000000"/>
          <w:sz w:val="26"/>
        </w:rPr>
        <w:t xml:space="preserve"> </w:t>
      </w:r>
    </w:p>
    <w:p>
      <w:pPr>
        <w:pStyle w:val="P1"/>
        <w:shd w:val="clear" w:fill="FFFFFF"/>
        <w:jc w:val="center"/>
        <w:rPr>
          <w:rStyle w:val="C3"/>
          <w:b w:val="1"/>
          <w:color w:val="000000"/>
          <w:sz w:val="26"/>
        </w:rPr>
      </w:pPr>
      <w:r>
        <w:rPr>
          <w:rStyle w:val="C3"/>
          <w:b w:val="1"/>
          <w:color w:val="000000"/>
          <w:sz w:val="26"/>
        </w:rPr>
        <w:t>4</w:t>
      </w:r>
      <w:r>
        <w:rPr>
          <w:rStyle w:val="C3"/>
          <w:b w:val="1"/>
          <w:color w:val="000000"/>
          <w:sz w:val="26"/>
        </w:rPr>
        <w:t>.</w:t>
      </w:r>
      <w:r>
        <w:rPr>
          <w:rStyle w:val="C3"/>
          <w:b w:val="1"/>
          <w:color w:val="000000"/>
          <w:sz w:val="26"/>
        </w:rPr>
        <w:t xml:space="preserve"> Показатели р</w:t>
      </w:r>
      <w:r>
        <w:rPr>
          <w:rStyle w:val="C3"/>
          <w:b w:val="1"/>
          <w:color w:val="000000"/>
          <w:sz w:val="26"/>
        </w:rPr>
        <w:t>езультативности и эффективности</w:t>
      </w:r>
    </w:p>
    <w:p>
      <w:pPr>
        <w:pStyle w:val="P1"/>
        <w:shd w:val="clear" w:fill="FFFFFF"/>
        <w:jc w:val="center"/>
        <w:rPr>
          <w:rStyle w:val="C3"/>
          <w:b w:val="1"/>
          <w:color w:val="000000"/>
          <w:sz w:val="26"/>
        </w:rPr>
      </w:pPr>
    </w:p>
    <w:p>
      <w:pPr>
        <w:pStyle w:val="P1"/>
        <w:ind w:firstLine="709"/>
        <w:jc w:val="both"/>
        <w:rPr>
          <w:rStyle w:val="C15"/>
          <w:i w:val="0"/>
          <w:sz w:val="26"/>
        </w:rPr>
      </w:pPr>
      <w:r>
        <w:rPr>
          <w:rStyle w:val="C15"/>
          <w:i w:val="0"/>
          <w:sz w:val="26"/>
        </w:rPr>
        <w:t xml:space="preserve">4.1. </w:t>
      </w:r>
      <w:r>
        <w:rPr>
          <w:rStyle w:val="C15"/>
          <w:i w:val="0"/>
          <w:sz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P1"/>
        <w:ind w:firstLine="709"/>
        <w:jc w:val="both"/>
        <w:rPr>
          <w:rStyle w:val="C15"/>
          <w:i w:val="0"/>
          <w:sz w:val="28"/>
        </w:rPr>
      </w:pPr>
    </w:p>
    <w:tbl>
      <w:tblPr>
        <w:tblStyle w:val="T2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/>
      <w:tr>
        <w:trPr>
          <w:trHeight w:hRule="atLeast" w:val="527"/>
        </w:trPr>
        <w:tc>
          <w:tcPr>
            <w:tcW w:w="6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Величина</w:t>
            </w:r>
          </w:p>
        </w:tc>
      </w:tr>
      <w:tr>
        <w:tc>
          <w:tcPr>
            <w:tcW w:w="6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5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100 %</w:t>
            </w:r>
          </w:p>
        </w:tc>
      </w:tr>
      <w:tr>
        <w:tc>
          <w:tcPr>
            <w:tcW w:w="6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5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100 %</w:t>
            </w:r>
          </w:p>
        </w:tc>
      </w:tr>
      <w:tr>
        <w:tc>
          <w:tcPr>
            <w:tcW w:w="6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5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 xml:space="preserve">Добровольное устранение нарушений обязательных требований законодательства в сфере 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100 %</w:t>
            </w:r>
          </w:p>
        </w:tc>
      </w:tr>
      <w:tr>
        <w:tc>
          <w:tcPr>
            <w:tcW w:w="62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5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"/>
              <w:jc w:val="center"/>
            </w:pPr>
            <w:r>
              <w:t>не менее 5 мероприятий</w:t>
            </w:r>
          </w:p>
        </w:tc>
      </w:tr>
    </w:tbl>
    <w:p>
      <w:pPr>
        <w:pStyle w:val="P1"/>
        <w:ind w:firstLine="709"/>
        <w:jc w:val="both"/>
        <w:rPr>
          <w:rStyle w:val="C15"/>
          <w:i w:val="0"/>
          <w:sz w:val="28"/>
        </w:rPr>
      </w:pPr>
    </w:p>
    <w:p>
      <w:pPr>
        <w:pStyle w:val="P9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>
      <w:pPr>
        <w:pStyle w:val="P9"/>
        <w:ind w:firstLine="709"/>
        <w:jc w:val="both"/>
        <w:rPr>
          <w:rStyle w:val="C3"/>
          <w:sz w:val="28"/>
        </w:rPr>
      </w:pPr>
    </w:p>
    <w:tbl>
      <w:tblPr>
        <w:tblStyle w:val="T2"/>
        <w:tblW w:w="0" w:type="auto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trHeight w:hRule="atLeast" w:val="420"/>
        </w:trPr>
        <w:tc>
          <w:tcPr>
            <w:tcW w:w="3119" w:type="dxa"/>
          </w:tcPr>
          <w:p>
            <w:pPr>
              <w:pStyle w:val="P1"/>
              <w:jc w:val="center"/>
            </w:pPr>
            <w:r>
              <w:t>значение показателя</w:t>
            </w:r>
          </w:p>
        </w:tc>
        <w:tc>
          <w:tcPr>
            <w:tcW w:w="2070" w:type="dxa"/>
          </w:tcPr>
          <w:p>
            <w:pPr>
              <w:pStyle w:val="P1"/>
              <w:jc w:val="center"/>
            </w:pPr>
            <w:r>
              <w:t>нет отклонения</w:t>
            </w:r>
          </w:p>
        </w:tc>
        <w:tc>
          <w:tcPr>
            <w:tcW w:w="2340" w:type="dxa"/>
          </w:tcPr>
          <w:p>
            <w:pPr>
              <w:pStyle w:val="P1"/>
              <w:jc w:val="center"/>
            </w:pPr>
            <w:r>
              <w:t>отклонение больше 20%</w:t>
            </w:r>
          </w:p>
        </w:tc>
        <w:tc>
          <w:tcPr>
            <w:tcW w:w="1840" w:type="dxa"/>
          </w:tcPr>
          <w:p>
            <w:pPr>
              <w:pStyle w:val="P1"/>
              <w:jc w:val="center"/>
            </w:pPr>
            <w:r>
              <w:t>отклонение больше 50 %</w:t>
            </w:r>
          </w:p>
        </w:tc>
      </w:tr>
      <w:tr>
        <w:trPr>
          <w:trHeight w:hRule="atLeast" w:val="420"/>
        </w:trPr>
        <w:tc>
          <w:tcPr>
            <w:tcW w:w="3119" w:type="dxa"/>
          </w:tcPr>
          <w:p>
            <w:pPr>
              <w:pStyle w:val="P1"/>
              <w:ind w:firstLine="34"/>
              <w:jc w:val="center"/>
            </w:pPr>
            <w:r>
              <w:t>оценка</w:t>
            </w:r>
          </w:p>
        </w:tc>
        <w:tc>
          <w:tcPr>
            <w:tcW w:w="2070" w:type="dxa"/>
          </w:tcPr>
          <w:p>
            <w:pPr>
              <w:pStyle w:val="P1"/>
              <w:jc w:val="center"/>
            </w:pPr>
            <w:r>
              <w:t>высокая эффективность</w:t>
            </w:r>
          </w:p>
        </w:tc>
        <w:tc>
          <w:tcPr>
            <w:tcW w:w="2340" w:type="dxa"/>
          </w:tcPr>
          <w:p>
            <w:pPr>
              <w:pStyle w:val="P1"/>
              <w:jc w:val="center"/>
            </w:pPr>
            <w:r>
              <w:t>удовлетворительная эффективность</w:t>
            </w:r>
          </w:p>
        </w:tc>
        <w:tc>
          <w:tcPr>
            <w:tcW w:w="1840" w:type="dxa"/>
          </w:tcPr>
          <w:p>
            <w:pPr>
              <w:pStyle w:val="P1"/>
              <w:jc w:val="center"/>
            </w:pPr>
            <w:r>
              <w:t>низкая эффективность</w:t>
            </w:r>
          </w:p>
        </w:tc>
      </w:tr>
    </w:tbl>
    <w:p>
      <w:pPr>
        <w:pStyle w:val="P1"/>
        <w:ind w:firstLine="709"/>
        <w:jc w:val="both"/>
        <w:rPr>
          <w:rStyle w:val="C3"/>
          <w:sz w:val="28"/>
        </w:rPr>
      </w:pP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за отчетным.</w:t>
      </w:r>
    </w:p>
    <w:p>
      <w:pPr>
        <w:pStyle w:val="P1"/>
        <w:ind w:firstLine="709"/>
        <w:jc w:val="both"/>
        <w:rPr>
          <w:rStyle w:val="C3"/>
          <w:sz w:val="28"/>
        </w:rPr>
      </w:pPr>
    </w:p>
    <w:p>
      <w:pPr>
        <w:pStyle w:val="P1"/>
        <w:ind w:left="4962"/>
      </w:pPr>
      <w:r>
        <w:rPr>
          <w:rStyle w:val="C3"/>
          <w:sz w:val="28"/>
        </w:rPr>
        <w:br w:type="page"/>
      </w:r>
      <w:r>
        <w:t>Приложение к Программе</w:t>
      </w:r>
    </w:p>
    <w:p>
      <w:pPr>
        <w:pStyle w:val="P1"/>
        <w:ind w:left="4962"/>
        <w:rPr>
          <w:rStyle w:val="C3"/>
          <w:i w:val="1"/>
        </w:rPr>
      </w:pPr>
      <w: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>Ерышевского</w:t>
      </w:r>
      <w:r>
        <w:t xml:space="preserve"> сельского поселения Павловского муниципального района Воронежской области на 2023 год</w:t>
      </w:r>
    </w:p>
    <w:p>
      <w:pPr>
        <w:pStyle w:val="P1"/>
        <w:jc w:val="right"/>
        <w:rPr>
          <w:rStyle w:val="C3"/>
          <w:sz w:val="28"/>
        </w:rPr>
      </w:pPr>
    </w:p>
    <w:p>
      <w:pPr>
        <w:pStyle w:val="P1"/>
        <w:rPr>
          <w:rStyle w:val="C3"/>
          <w:b w:val="1"/>
          <w:sz w:val="28"/>
        </w:rPr>
      </w:pPr>
    </w:p>
    <w:p>
      <w:pPr>
        <w:pStyle w:val="P1"/>
        <w:jc w:val="center"/>
        <w:rPr>
          <w:rStyle w:val="C3"/>
          <w:b w:val="1"/>
          <w:sz w:val="26"/>
        </w:rPr>
      </w:pPr>
      <w:r>
        <w:rPr>
          <w:rStyle w:val="C3"/>
          <w:b w:val="1"/>
          <w:sz w:val="26"/>
        </w:rPr>
        <w:t>План мероприятий профилактики рисков причинения вреда (ущерба) охраняемым законом ценностям на 2023 год</w:t>
      </w:r>
    </w:p>
    <w:p>
      <w:pPr>
        <w:pStyle w:val="P1"/>
        <w:jc w:val="center"/>
        <w:rPr>
          <w:rStyle w:val="C3"/>
          <w:b w:val="1"/>
          <w:sz w:val="28"/>
        </w:rPr>
      </w:pPr>
    </w:p>
    <w:tbl>
      <w:tblPr>
        <w:tblStyle w:val="T2"/>
        <w:tblW w:w="9322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640" w:type="dxa"/>
            <w:vAlign w:val="center"/>
          </w:tcPr>
          <w:p>
            <w:pPr>
              <w:pStyle w:val="P1"/>
              <w:spacing w:lineRule="auto" w:line="252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№ п/п</w:t>
            </w:r>
          </w:p>
        </w:tc>
        <w:tc>
          <w:tcPr>
            <w:tcW w:w="4430" w:type="dxa"/>
            <w:vAlign w:val="center"/>
          </w:tcPr>
          <w:p>
            <w:pPr>
              <w:pStyle w:val="P1"/>
              <w:spacing w:lineRule="auto" w:line="252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Наименование</w:t>
            </w:r>
          </w:p>
          <w:p>
            <w:pPr>
              <w:pStyle w:val="P1"/>
              <w:spacing w:lineRule="auto" w:line="252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мероприятия</w:t>
            </w:r>
          </w:p>
        </w:tc>
        <w:tc>
          <w:tcPr>
            <w:tcW w:w="1984" w:type="dxa"/>
            <w:vAlign w:val="center"/>
          </w:tcPr>
          <w:p>
            <w:pPr>
              <w:pStyle w:val="P1"/>
              <w:spacing w:lineRule="auto" w:line="252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spacing w:lineRule="auto" w:line="252"/>
              <w:jc w:val="center"/>
              <w:rPr>
                <w:rStyle w:val="C3"/>
                <w:b w:val="1"/>
              </w:rPr>
            </w:pPr>
            <w:r>
              <w:rPr>
                <w:rStyle w:val="C3"/>
                <w:b w:val="1"/>
              </w:rPr>
              <w:t>Ответственные за реализацию мероприятия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2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>
            <w:pPr>
              <w:pStyle w:val="P1"/>
              <w:widowControl w:val="0"/>
              <w:spacing w:lineRule="auto" w:line="252"/>
              <w:rPr>
                <w:rStyle w:val="C3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3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Постоянно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4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rFonts w:ascii="Arial" w:hAnsi="Arial"/>
                <w:color w:val="FF0000"/>
                <w:sz w:val="26"/>
              </w:rPr>
            </w:pPr>
            <w:r>
              <w:rPr>
                <w:rStyle w:val="C3"/>
                <w:sz w:val="26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 раз в квартал при наличии внесения изменений в нормативные правовые акты</w:t>
            </w:r>
          </w:p>
          <w:p>
            <w:pPr>
              <w:pStyle w:val="P1"/>
              <w:spacing w:lineRule="auto" w:line="252"/>
              <w:rPr>
                <w:rStyle w:val="C3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hRule="atLeast" w:val="996"/>
        </w:trP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5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Информирование о содержании новых обязательных требований</w:t>
            </w:r>
          </w:p>
          <w:p>
            <w:pPr>
              <w:pStyle w:val="P1"/>
              <w:widowControl w:val="0"/>
              <w:spacing w:lineRule="auto" w:line="252"/>
              <w:rPr>
                <w:rStyle w:val="C3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Постоянно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6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Постоянно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Глава </w:t>
            </w:r>
            <w:r>
              <w:rPr>
                <w:rStyle w:val="C3"/>
                <w:sz w:val="26"/>
              </w:rPr>
              <w:t>Ерышевского</w:t>
            </w:r>
            <w:r>
              <w:rPr>
                <w:rStyle w:val="C3"/>
                <w:sz w:val="26"/>
              </w:rPr>
              <w:t xml:space="preserve">  сельского поселения</w:t>
            </w:r>
          </w:p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7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По полугодиям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8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По полугодиям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9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10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>
            <w:pPr>
              <w:pStyle w:val="P1"/>
              <w:widowControl w:val="0"/>
              <w:jc w:val="both"/>
              <w:rPr>
                <w:rStyle w:val="C3"/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 15 января до 1 февраля года, следующего за отчетным годом</w:t>
            </w:r>
          </w:p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P1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>
        <w:tc>
          <w:tcPr>
            <w:tcW w:w="640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11</w:t>
            </w:r>
          </w:p>
        </w:tc>
        <w:tc>
          <w:tcPr>
            <w:tcW w:w="4430" w:type="dxa"/>
          </w:tcPr>
          <w:p>
            <w:pPr>
              <w:pStyle w:val="P1"/>
              <w:widowControl w:val="0"/>
              <w:spacing w:lineRule="auto" w:line="252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>
            <w:pPr>
              <w:pStyle w:val="P5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Не  позднее 15 февраля года, следующего за отчетным годом</w:t>
            </w:r>
          </w:p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P1"/>
              <w:spacing w:lineRule="auto" w:line="252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P1"/>
        <w:jc w:val="center"/>
        <w:rPr>
          <w:rStyle w:val="C3"/>
          <w:b w:val="1"/>
          <w:sz w:val="26"/>
        </w:rPr>
      </w:pPr>
    </w:p>
    <w:p>
      <w:pPr>
        <w:pStyle w:val="P1"/>
        <w:jc w:val="center"/>
        <w:rPr>
          <w:rStyle w:val="C3"/>
          <w:b w:val="1"/>
          <w:sz w:val="26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985" w:right="680" w:top="1134" w:bottom="993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6"/>
      <w:jc w:val="center"/>
    </w:pPr>
  </w:p>
  <w:p>
    <w:pPr>
      <w:pStyle w:val="P16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"/>
      <w:jc w:val="center"/>
    </w:pPr>
  </w:p>
  <w:p>
    <w:pPr>
      <w:pStyle w:val="P15"/>
    </w:pPr>
  </w:p>
</w:hdr>
</file>

<file path=word/numbering.xml><?xml version="1.0" encoding="utf-8"?>
<w:numbering xmlns:w="http://schemas.openxmlformats.org/wordprocessingml/2006/main">
  <w:abstractNum w:abstractNumId="0">
    <w:nsid w:val="04F4306B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">
    <w:nsid w:val="05F2468B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2">
    <w:nsid w:val="15FB7324"/>
    <w:multiLevelType w:val="hybridMultilevel"/>
    <w:lvl w:ilvl="0" w:tplc="07429D57">
      <w:start w:val="1"/>
      <w:numFmt w:val="bullet"/>
      <w:suff w:val="tab"/>
      <w:lvlText w:val=""/>
      <w:lvlJc w:val="left"/>
      <w:pPr>
        <w:ind w:hanging="360" w:left="1429"/>
      </w:pPr>
      <w:rPr>
        <w:rFonts w:ascii="Symbol" w:hAnsi="Symbol"/>
      </w:rPr>
    </w:lvl>
    <w:lvl w:ilvl="1" w:tplc="1021A6DE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4E33785B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18A5BCAC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3B06E1DD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5DF1B6E7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51096394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3E0F4C96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16228B3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nsid w:val="20A75E29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4">
    <w:nsid w:val="266772EF"/>
    <w:multiLevelType w:val="multilevel"/>
    <w:lvl w:ilvl="0">
      <w:start w:val="1"/>
      <w:numFmt w:val="upp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FBC773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33295F9C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7">
    <w:nsid w:val="33CB216D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8">
    <w:nsid w:val="46A67F02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9">
    <w:nsid w:val="46AB58CC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0">
    <w:nsid w:val="4A0B3BE1"/>
    <w:multiLevelType w:val="hybridMultilevel"/>
    <w:lvl w:ilvl="0" w:tplc="21173CA8">
      <w:start w:val="1"/>
      <w:numFmt w:val="bullet"/>
      <w:suff w:val="tab"/>
      <w:lvlText w:val=""/>
      <w:lvlJc w:val="left"/>
      <w:pPr>
        <w:ind w:hanging="360" w:left="1321"/>
      </w:pPr>
      <w:rPr>
        <w:rFonts w:ascii="Wingdings" w:hAnsi="Wingdings"/>
      </w:rPr>
    </w:lvl>
    <w:lvl w:ilvl="1" w:tplc="53AD15EC">
      <w:start w:val="1"/>
      <w:numFmt w:val="bullet"/>
      <w:suff w:val="tab"/>
      <w:lvlText w:val="o"/>
      <w:lvlJc w:val="left"/>
      <w:pPr>
        <w:ind w:hanging="360" w:left="2041"/>
      </w:pPr>
      <w:rPr>
        <w:rFonts w:ascii="Courier New" w:hAnsi="Courier New"/>
      </w:rPr>
    </w:lvl>
    <w:lvl w:ilvl="2" w:tplc="362A407C">
      <w:start w:val="1"/>
      <w:numFmt w:val="bullet"/>
      <w:suff w:val="tab"/>
      <w:lvlText w:val=""/>
      <w:lvlJc w:val="left"/>
      <w:pPr>
        <w:ind w:hanging="360" w:left="2761"/>
      </w:pPr>
      <w:rPr>
        <w:rFonts w:ascii="Wingdings" w:hAnsi="Wingdings"/>
      </w:rPr>
    </w:lvl>
    <w:lvl w:ilvl="3" w:tplc="2313A649">
      <w:start w:val="1"/>
      <w:numFmt w:val="bullet"/>
      <w:suff w:val="tab"/>
      <w:lvlText w:val=""/>
      <w:lvlJc w:val="left"/>
      <w:pPr>
        <w:ind w:hanging="360" w:left="3481"/>
      </w:pPr>
      <w:rPr>
        <w:rFonts w:ascii="Symbol" w:hAnsi="Symbol"/>
      </w:rPr>
    </w:lvl>
    <w:lvl w:ilvl="4" w:tplc="7D407BD5">
      <w:start w:val="1"/>
      <w:numFmt w:val="bullet"/>
      <w:suff w:val="tab"/>
      <w:lvlText w:val="o"/>
      <w:lvlJc w:val="left"/>
      <w:pPr>
        <w:ind w:hanging="360" w:left="4201"/>
      </w:pPr>
      <w:rPr>
        <w:rFonts w:ascii="Courier New" w:hAnsi="Courier New"/>
      </w:rPr>
    </w:lvl>
    <w:lvl w:ilvl="5" w:tplc="149DEDE9">
      <w:start w:val="1"/>
      <w:numFmt w:val="bullet"/>
      <w:suff w:val="tab"/>
      <w:lvlText w:val=""/>
      <w:lvlJc w:val="left"/>
      <w:pPr>
        <w:ind w:hanging="360" w:left="4921"/>
      </w:pPr>
      <w:rPr>
        <w:rFonts w:ascii="Wingdings" w:hAnsi="Wingdings"/>
      </w:rPr>
    </w:lvl>
    <w:lvl w:ilvl="6" w:tplc="55EB6DB2">
      <w:start w:val="1"/>
      <w:numFmt w:val="bullet"/>
      <w:suff w:val="tab"/>
      <w:lvlText w:val=""/>
      <w:lvlJc w:val="left"/>
      <w:pPr>
        <w:ind w:hanging="360" w:left="5641"/>
      </w:pPr>
      <w:rPr>
        <w:rFonts w:ascii="Symbol" w:hAnsi="Symbol"/>
      </w:rPr>
    </w:lvl>
    <w:lvl w:ilvl="7" w:tplc="78FA60EB">
      <w:start w:val="1"/>
      <w:numFmt w:val="bullet"/>
      <w:suff w:val="tab"/>
      <w:lvlText w:val="o"/>
      <w:lvlJc w:val="left"/>
      <w:pPr>
        <w:ind w:hanging="360" w:left="6361"/>
      </w:pPr>
      <w:rPr>
        <w:rFonts w:ascii="Courier New" w:hAnsi="Courier New"/>
      </w:rPr>
    </w:lvl>
    <w:lvl w:ilvl="8" w:tplc="6DC65C7A">
      <w:start w:val="1"/>
      <w:numFmt w:val="bullet"/>
      <w:suff w:val="tab"/>
      <w:lvlText w:val=""/>
      <w:lvlJc w:val="left"/>
      <w:pPr>
        <w:ind w:hanging="360" w:left="7081"/>
      </w:pPr>
      <w:rPr>
        <w:rFonts w:ascii="Wingdings" w:hAnsi="Wingdings"/>
      </w:rPr>
    </w:lvl>
  </w:abstractNum>
  <w:abstractNum w:abstractNumId="11">
    <w:nsid w:val="4C214D7C"/>
    <w:multiLevelType w:val="hybridMultilevel"/>
    <w:lvl w:ilvl="0" w:tplc="033068AA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4AF14AD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0C70A89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792640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10C244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AF9EDD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A880FE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BA4B78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6C9DF3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511973B3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3">
    <w:nsid w:val="68B12E09"/>
    <w:multiLevelType w:val="hybridMultilevel"/>
    <w:lvl w:ilvl="0" w:tplc="12F90C5B">
      <w:start w:val="1"/>
      <w:numFmt w:val="bullet"/>
      <w:suff w:val="tab"/>
      <w:lvlText w:val=""/>
      <w:lvlJc w:val="left"/>
      <w:pPr>
        <w:ind w:hanging="360" w:left="1321"/>
      </w:pPr>
      <w:rPr>
        <w:rFonts w:ascii="Wingdings" w:hAnsi="Wingdings"/>
      </w:rPr>
    </w:lvl>
    <w:lvl w:ilvl="1" w:tplc="30D80025">
      <w:start w:val="1"/>
      <w:numFmt w:val="bullet"/>
      <w:suff w:val="tab"/>
      <w:lvlText w:val="o"/>
      <w:lvlJc w:val="left"/>
      <w:pPr>
        <w:ind w:hanging="360" w:left="2041"/>
      </w:pPr>
      <w:rPr>
        <w:rFonts w:ascii="Courier New" w:hAnsi="Courier New"/>
      </w:rPr>
    </w:lvl>
    <w:lvl w:ilvl="2" w:tplc="103A1E87">
      <w:start w:val="1"/>
      <w:numFmt w:val="bullet"/>
      <w:suff w:val="tab"/>
      <w:lvlText w:val=""/>
      <w:lvlJc w:val="left"/>
      <w:pPr>
        <w:ind w:hanging="360" w:left="2761"/>
      </w:pPr>
      <w:rPr>
        <w:rFonts w:ascii="Wingdings" w:hAnsi="Wingdings"/>
      </w:rPr>
    </w:lvl>
    <w:lvl w:ilvl="3" w:tplc="79B17656">
      <w:start w:val="1"/>
      <w:numFmt w:val="bullet"/>
      <w:suff w:val="tab"/>
      <w:lvlText w:val=""/>
      <w:lvlJc w:val="left"/>
      <w:pPr>
        <w:ind w:hanging="360" w:left="3481"/>
      </w:pPr>
      <w:rPr>
        <w:rFonts w:ascii="Symbol" w:hAnsi="Symbol"/>
      </w:rPr>
    </w:lvl>
    <w:lvl w:ilvl="4" w:tplc="6BCDFB9F">
      <w:start w:val="1"/>
      <w:numFmt w:val="bullet"/>
      <w:suff w:val="tab"/>
      <w:lvlText w:val="o"/>
      <w:lvlJc w:val="left"/>
      <w:pPr>
        <w:ind w:hanging="360" w:left="4201"/>
      </w:pPr>
      <w:rPr>
        <w:rFonts w:ascii="Courier New" w:hAnsi="Courier New"/>
      </w:rPr>
    </w:lvl>
    <w:lvl w:ilvl="5" w:tplc="686B8784">
      <w:start w:val="1"/>
      <w:numFmt w:val="bullet"/>
      <w:suff w:val="tab"/>
      <w:lvlText w:val=""/>
      <w:lvlJc w:val="left"/>
      <w:pPr>
        <w:ind w:hanging="360" w:left="4921"/>
      </w:pPr>
      <w:rPr>
        <w:rFonts w:ascii="Wingdings" w:hAnsi="Wingdings"/>
      </w:rPr>
    </w:lvl>
    <w:lvl w:ilvl="6" w:tplc="6691FCE0">
      <w:start w:val="1"/>
      <w:numFmt w:val="bullet"/>
      <w:suff w:val="tab"/>
      <w:lvlText w:val=""/>
      <w:lvlJc w:val="left"/>
      <w:pPr>
        <w:ind w:hanging="360" w:left="5641"/>
      </w:pPr>
      <w:rPr>
        <w:rFonts w:ascii="Symbol" w:hAnsi="Symbol"/>
      </w:rPr>
    </w:lvl>
    <w:lvl w:ilvl="7" w:tplc="2097EA27">
      <w:start w:val="1"/>
      <w:numFmt w:val="bullet"/>
      <w:suff w:val="tab"/>
      <w:lvlText w:val="o"/>
      <w:lvlJc w:val="left"/>
      <w:pPr>
        <w:ind w:hanging="360" w:left="6361"/>
      </w:pPr>
      <w:rPr>
        <w:rFonts w:ascii="Courier New" w:hAnsi="Courier New"/>
      </w:rPr>
    </w:lvl>
    <w:lvl w:ilvl="8" w:tplc="0A99B3F8">
      <w:start w:val="1"/>
      <w:numFmt w:val="bullet"/>
      <w:suff w:val="tab"/>
      <w:lvlText w:val=""/>
      <w:lvlJc w:val="left"/>
      <w:pPr>
        <w:ind w:hanging="360" w:left="7081"/>
      </w:pPr>
      <w:rPr>
        <w:rFonts w:ascii="Wingdings" w:hAnsi="Wingdings"/>
      </w:rPr>
    </w:lvl>
  </w:abstractNum>
  <w:abstractNum w:abstractNumId="14">
    <w:nsid w:val="6A5C0C8D"/>
    <w:multiLevelType w:val="multilevel"/>
    <w:lvl w:ilvl="0">
      <w:start w:val="1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28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6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4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2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48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56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24"/>
      </w:pPr>
      <w:rPr/>
    </w:lvl>
  </w:abstractNum>
  <w:abstractNum w:abstractNumId="15">
    <w:nsid w:val="7A6F4BB0"/>
    <w:multiLevelType w:val="multilevel"/>
    <w:lvl w:ilvl="0">
      <w:start w:val="1"/>
      <w:numFmt w:val="decimal"/>
      <w:suff w:val="tab"/>
      <w:lvlText w:val="%1)"/>
      <w:lvlJc w:val="left"/>
      <w:pPr>
        <w:ind w:hanging="360" w:left="1069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>
      <w:start w:val="1"/>
      <w:numFmt w:val="decimal"/>
      <w:suff w:val="tab"/>
      <w:lvlText w:val="%4."/>
      <w:lvlJc w:val="left"/>
      <w:pPr>
        <w:ind w:hanging="360" w:left="3229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>
      <w:start w:val="1"/>
      <w:numFmt w:val="decimal"/>
      <w:suff w:val="tab"/>
      <w:lvlText w:val="%7."/>
      <w:lvlJc w:val="left"/>
      <w:pPr>
        <w:ind w:hanging="360" w:left="5389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6">
    <w:nsid w:val="7FD6028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ConsTitle"/>
    <w:next w:val="P2"/>
    <w:pPr>
      <w:ind w:right="19772"/>
    </w:pPr>
    <w:rPr>
      <w:rFonts w:ascii="Arial" w:hAnsi="Arial"/>
      <w:b w:val="1"/>
      <w:sz w:val="16"/>
    </w:rPr>
  </w:style>
  <w:style w:type="paragraph" w:styleId="P3">
    <w:name w:val="ConsNormal"/>
    <w:next w:val="P3"/>
    <w:pPr>
      <w:widowControl w:val="0"/>
      <w:ind w:firstLine="720" w:right="19772"/>
    </w:pPr>
    <w:rPr>
      <w:rFonts w:ascii="Arial" w:hAnsi="Arial"/>
    </w:rPr>
  </w:style>
  <w:style w:type="paragraph" w:styleId="P4">
    <w:name w:val="ConsPlusNonformat"/>
    <w:next w:val="P4"/>
    <w:pPr>
      <w:widowControl w:val="0"/>
    </w:pPr>
    <w:rPr>
      <w:rFonts w:ascii="Courier New" w:hAnsi="Courier New"/>
    </w:rPr>
  </w:style>
  <w:style w:type="paragraph" w:styleId="P5">
    <w:name w:val="ConsPlusNormal"/>
    <w:next w:val="P5"/>
    <w:link w:val="C13"/>
    <w:qFormat/>
    <w:pPr/>
    <w:rPr>
      <w:sz w:val="28"/>
    </w:rPr>
  </w:style>
  <w:style w:type="paragraph" w:styleId="P6">
    <w:name w:val="Рецензия"/>
    <w:next w:val="P6"/>
    <w:hidden/>
    <w:pPr/>
    <w:rPr>
      <w:rFonts w:ascii="Calibri" w:hAnsi="Calibri"/>
      <w:sz w:val="22"/>
    </w:rPr>
  </w:style>
  <w:style w:type="paragraph" w:styleId="P7">
    <w:name w:val="Default"/>
    <w:next w:val="P7"/>
    <w:pPr/>
    <w:rPr>
      <w:rFonts w:ascii="Courier Std" w:hAnsi="Courier Std"/>
      <w:color w:val="000000"/>
      <w:sz w:val="24"/>
    </w:rPr>
  </w:style>
  <w:style w:type="paragraph" w:styleId="P8">
    <w:name w:val="ConsPlusTitle"/>
    <w:next w:val="P8"/>
    <w:pPr/>
    <w:rPr>
      <w:b w:val="1"/>
      <w:sz w:val="24"/>
    </w:rPr>
  </w:style>
  <w:style w:type="paragraph" w:styleId="P9">
    <w:name w:val="Без интервала"/>
    <w:next w:val="P9"/>
    <w:link w:val="C17"/>
    <w:qFormat/>
    <w:pPr/>
    <w:rPr/>
  </w:style>
  <w:style w:type="paragraph" w:styleId="P10">
    <w:name w:val="Заголовок 1"/>
    <w:basedOn w:val="P1"/>
    <w:next w:val="P1"/>
    <w:qFormat/>
    <w:pPr>
      <w:keepNext w:val="1"/>
      <w:tabs>
        <w:tab w:val="left" w:pos="2985" w:leader="none"/>
      </w:tabs>
      <w:outlineLvl w:val="0"/>
    </w:pPr>
    <w:rPr>
      <w:b w:val="1"/>
      <w:sz w:val="32"/>
    </w:rPr>
  </w:style>
  <w:style w:type="paragraph" w:styleId="P11">
    <w:name w:val="Заголовок 2"/>
    <w:basedOn w:val="P1"/>
    <w:next w:val="P1"/>
    <w:qFormat/>
    <w:pPr>
      <w:keepNext w:val="1"/>
      <w:tabs>
        <w:tab w:val="left" w:pos="2985" w:leader="none"/>
      </w:tabs>
      <w:ind w:left="-360"/>
      <w:jc w:val="center"/>
      <w:outlineLvl w:val="1"/>
    </w:pPr>
    <w:rPr>
      <w:b w:val="1"/>
    </w:rPr>
  </w:style>
  <w:style w:type="paragraph" w:styleId="P12">
    <w:name w:val="Заголовок 3"/>
    <w:basedOn w:val="P1"/>
    <w:next w:val="P1"/>
    <w:link w:val="C11"/>
    <w:qFormat/>
    <w:pPr>
      <w:keepNext w:val="1"/>
      <w:spacing w:before="240" w:after="60"/>
      <w:outlineLvl w:val="2"/>
    </w:pPr>
    <w:rPr>
      <w:rFonts w:ascii="Calibri Light" w:hAnsi="Calibri Light"/>
      <w:b w:val="1"/>
      <w:sz w:val="26"/>
    </w:rPr>
  </w:style>
  <w:style w:type="paragraph" w:styleId="P13">
    <w:name w:val="Основной текст с отступом 2"/>
    <w:basedOn w:val="P1"/>
    <w:next w:val="P13"/>
    <w:pPr>
      <w:ind w:firstLine="708"/>
      <w:jc w:val="both"/>
    </w:pPr>
    <w:rPr>
      <w:sz w:val="28"/>
    </w:rPr>
  </w:style>
  <w:style w:type="paragraph" w:styleId="P14">
    <w:name w:val="Текст выноски"/>
    <w:basedOn w:val="P1"/>
    <w:next w:val="P14"/>
    <w:link w:val="C4"/>
    <w:pPr/>
    <w:rPr>
      <w:rFonts w:ascii="Tahoma" w:hAnsi="Tahoma"/>
      <w:sz w:val="16"/>
    </w:rPr>
  </w:style>
  <w:style w:type="paragraph" w:styleId="P15">
    <w:name w:val="Верхний колонтитул"/>
    <w:basedOn w:val="P1"/>
    <w:next w:val="P15"/>
    <w:link w:val="C5"/>
    <w:pPr>
      <w:tabs>
        <w:tab w:val="center" w:pos="4677" w:leader="none"/>
        <w:tab w:val="right" w:pos="9355" w:leader="none"/>
      </w:tabs>
    </w:pPr>
    <w:rPr/>
  </w:style>
  <w:style w:type="paragraph" w:styleId="P16">
    <w:name w:val="Нижний колонтитул"/>
    <w:basedOn w:val="P1"/>
    <w:next w:val="P16"/>
    <w:link w:val="C6"/>
    <w:pPr>
      <w:tabs>
        <w:tab w:val="center" w:pos="4677" w:leader="none"/>
        <w:tab w:val="right" w:pos="9355" w:leader="none"/>
      </w:tabs>
    </w:pPr>
    <w:rPr/>
  </w:style>
  <w:style w:type="paragraph" w:styleId="P17">
    <w:name w:val="Абзац списка"/>
    <w:basedOn w:val="P1"/>
    <w:next w:val="P17"/>
    <w:link w:val="C12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paragraph" w:styleId="P18">
    <w:name w:val="Текст примечания"/>
    <w:basedOn w:val="P1"/>
    <w:next w:val="P18"/>
    <w:link w:val="C8"/>
    <w:pPr>
      <w:spacing w:after="160"/>
    </w:pPr>
    <w:rPr>
      <w:rFonts w:ascii="Calibri" w:hAnsi="Calibri"/>
      <w:sz w:val="20"/>
    </w:rPr>
  </w:style>
  <w:style w:type="paragraph" w:styleId="P19">
    <w:name w:val="Текст сноски"/>
    <w:basedOn w:val="P1"/>
    <w:next w:val="P19"/>
    <w:link w:val="C20"/>
    <w:pPr/>
    <w:rPr>
      <w:sz w:val="20"/>
    </w:rPr>
  </w:style>
  <w:style w:type="paragraph" w:styleId="P20">
    <w:name w:val="Заголовок"/>
    <w:basedOn w:val="P1"/>
    <w:next w:val="P1"/>
    <w:link w:val="C16"/>
    <w:qFormat/>
    <w:pPr>
      <w:spacing w:before="240" w:after="60"/>
      <w:jc w:val="center"/>
      <w:outlineLvl w:val="0"/>
    </w:pPr>
    <w:rPr>
      <w:rFonts w:ascii="Calibri Light" w:hAnsi="Calibri Light"/>
      <w:b w:val="1"/>
      <w:sz w:val="32"/>
    </w:rPr>
  </w:style>
  <w:style w:type="paragraph" w:styleId="P21">
    <w:name w:val="Обычный (веб)"/>
    <w:basedOn w:val="P1"/>
    <w:next w:val="P21"/>
    <w:pPr>
      <w:spacing w:before="100" w:after="100" w:beforeAutospacing="1" w:afterAutospacing="1"/>
    </w:pPr>
    <w:rPr/>
  </w:style>
  <w:style w:type="paragraph" w:styleId="P22">
    <w:name w:val="Title!Название НПА"/>
    <w:basedOn w:val="P1"/>
    <w:next w:val="P22"/>
    <w:pPr>
      <w:spacing w:before="240" w:after="60"/>
      <w:ind w:firstLine="567"/>
      <w:jc w:val="center"/>
      <w:outlineLvl w:val="0"/>
    </w:pPr>
    <w:rPr>
      <w:rFonts w:ascii="Arial" w:hAnsi="Arial"/>
      <w:b w:val="1"/>
      <w:sz w:val="32"/>
    </w:rPr>
  </w:style>
  <w:style w:type="paragraph" w:styleId="P23">
    <w:name w:val="s15"/>
    <w:basedOn w:val="P1"/>
    <w:next w:val="P23"/>
    <w:pPr>
      <w:spacing w:before="100" w:after="100" w:beforeAutospacing="1" w:afterAutospacing="1"/>
    </w:pPr>
    <w:rPr/>
  </w:style>
  <w:style w:type="paragraph" w:styleId="P24">
    <w:name w:val="s26"/>
    <w:basedOn w:val="P1"/>
    <w:next w:val="P24"/>
    <w:pPr>
      <w:spacing w:before="100" w:after="100" w:beforeAutospacing="1" w:afterAutospacing="1"/>
    </w:pPr>
    <w:rPr/>
  </w:style>
  <w:style w:type="paragraph" w:styleId="P25">
    <w:name w:val="Тема примечания"/>
    <w:basedOn w:val="P18"/>
    <w:next w:val="P18"/>
    <w:link w:val="C9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Текст выноски Знак"/>
    <w:link w:val="P14"/>
    <w:rPr>
      <w:rFonts w:ascii="Tahoma" w:hAnsi="Tahoma"/>
      <w:sz w:val="16"/>
    </w:rPr>
  </w:style>
  <w:style w:type="character" w:styleId="C5">
    <w:name w:val="Верхний колонтитул Знак"/>
    <w:link w:val="P15"/>
    <w:rPr/>
  </w:style>
  <w:style w:type="character" w:styleId="C6">
    <w:name w:val="Нижний колонтитул Знак"/>
    <w:link w:val="P16"/>
    <w:rPr/>
  </w:style>
  <w:style w:type="character" w:styleId="C7">
    <w:name w:val="Знак примечания"/>
    <w:rPr>
      <w:sz w:val="16"/>
    </w:rPr>
  </w:style>
  <w:style w:type="character" w:styleId="C8">
    <w:name w:val="Текст примечания Знак"/>
    <w:link w:val="P18"/>
    <w:rPr>
      <w:rFonts w:ascii="Calibri" w:hAnsi="Calibri"/>
      <w:sz w:val="20"/>
    </w:rPr>
  </w:style>
  <w:style w:type="character" w:styleId="C9">
    <w:name w:val="Тема примечания Знак"/>
    <w:link w:val="P25"/>
    <w:rPr>
      <w:b w:val="1"/>
    </w:rPr>
  </w:style>
  <w:style w:type="character" w:styleId="C10">
    <w:name w:val="Гиперссылка"/>
    <w:rPr>
      <w:color w:val="0563C1"/>
      <w:u w:val="single"/>
    </w:rPr>
  </w:style>
  <w:style w:type="character" w:styleId="C11">
    <w:name w:val="Заголовок 3 Знак"/>
    <w:link w:val="P12"/>
    <w:rPr>
      <w:rFonts w:ascii="Calibri Light" w:hAnsi="Calibri Light"/>
      <w:b w:val="1"/>
      <w:sz w:val="26"/>
    </w:rPr>
  </w:style>
  <w:style w:type="character" w:styleId="C12">
    <w:name w:val="Абзац списка Знак"/>
    <w:link w:val="P17"/>
    <w:rPr>
      <w:rFonts w:ascii="Calibri" w:hAnsi="Calibri"/>
      <w:sz w:val="22"/>
    </w:rPr>
  </w:style>
  <w:style w:type="character" w:styleId="C13">
    <w:name w:val="ConsPlusNormal Знак"/>
    <w:link w:val="P5"/>
    <w:rPr>
      <w:sz w:val="28"/>
    </w:rPr>
  </w:style>
  <w:style w:type="character" w:styleId="C14">
    <w:name w:val="Знак сноски"/>
    <w:rPr>
      <w:vertAlign w:val="superscript"/>
    </w:rPr>
  </w:style>
  <w:style w:type="character" w:styleId="C15">
    <w:name w:val="Выделение"/>
    <w:qFormat/>
    <w:rPr>
      <w:i w:val="1"/>
    </w:rPr>
  </w:style>
  <w:style w:type="character" w:styleId="C16">
    <w:name w:val="Заголовок Знак"/>
    <w:link w:val="P20"/>
    <w:rPr>
      <w:rFonts w:ascii="Calibri Light" w:hAnsi="Calibri Light"/>
      <w:b w:val="1"/>
      <w:sz w:val="32"/>
    </w:rPr>
  </w:style>
  <w:style w:type="character" w:styleId="C17">
    <w:name w:val="Без интервала Знак"/>
    <w:link w:val="P9"/>
    <w:rPr/>
  </w:style>
  <w:style w:type="character" w:styleId="C18">
    <w:name w:val="ConsPlusNormal1"/>
    <w:rPr>
      <w:rFonts w:ascii="Calibri" w:hAnsi="Calibri"/>
    </w:rPr>
  </w:style>
  <w:style w:type="character" w:styleId="C19">
    <w:name w:val="bumpedfont15"/>
    <w:rPr/>
  </w:style>
  <w:style w:type="character" w:styleId="C20">
    <w:name w:val="Текст сноски Знак"/>
    <w:basedOn w:val="C3"/>
    <w:link w:val="P19"/>
    <w:rPr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rFonts w:ascii="Calibri" w:hAnsi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Сетка таблицы1"/>
    <w:basedOn w:val="T2"/>
    <w:rPr>
      <w:rFonts w:ascii="Calibri" w:hAnsi="Calibri"/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Сетка таблицы2"/>
    <w:basedOn w:val="T2"/>
    <w:rPr>
      <w:rFonts w:ascii="Calibri" w:hAnsi="Calibri"/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Сетка таблицы11"/>
    <w:basedOn w:val="T2"/>
    <w:rPr>
      <w:rFonts w:ascii="Calibri" w:hAnsi="Calibri"/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7">
    <w:name w:val="Сетка таблицы3"/>
    <w:basedOn w:val="T2"/>
    <w:rPr>
      <w:rFonts w:ascii="Calibri" w:hAnsi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8">
    <w:name w:val="Сетка таблицы28"/>
    <w:basedOn w:val="T2"/>
    <w:rPr>
      <w:rFonts w:ascii="Calibri" w:hAnsi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9">
    <w:name w:val="Сетка таблицы251"/>
    <w:basedOn w:val="T2"/>
    <w:rPr>
      <w:rFonts w:ascii="Calibri" w:hAnsi="Calibri"/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10">
    <w:name w:val="Сетка таблицы261"/>
    <w:basedOn w:val="T2"/>
    <w:rPr>
      <w:rFonts w:ascii="Calibri" w:hAnsi="Calibri"/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