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E3" w:rsidRDefault="00AD73E3" w:rsidP="00AD73E3">
      <w:pPr>
        <w:pStyle w:val="page-title"/>
        <w:pBdr>
          <w:bottom w:val="single" w:sz="6" w:space="8" w:color="CCCCCC"/>
        </w:pBdr>
        <w:spacing w:before="0" w:beforeAutospacing="0" w:after="300" w:afterAutospacing="0"/>
        <w:jc w:val="center"/>
        <w:rPr>
          <w:rFonts w:ascii="Arial" w:hAnsi="Arial" w:cs="Arial"/>
        </w:rPr>
      </w:pPr>
      <w:r>
        <w:rPr>
          <w:rFonts w:ascii="Arial" w:hAnsi="Arial" w:cs="Arial"/>
        </w:rPr>
        <w:t>Приобрести земельный участок</w:t>
      </w:r>
    </w:p>
    <w:p w:rsidR="00AD73E3" w:rsidRDefault="00AD73E3" w:rsidP="00AD73E3">
      <w:pPr>
        <w:pStyle w:val="a3"/>
        <w:spacing w:before="0" w:beforeAutospacing="0" w:after="0" w:afterAutospacing="0"/>
        <w:jc w:val="center"/>
        <w:rPr>
          <w:rFonts w:ascii="Arial" w:hAnsi="Arial" w:cs="Arial"/>
          <w:color w:val="382E2C"/>
        </w:rPr>
      </w:pPr>
      <w:r>
        <w:rPr>
          <w:rStyle w:val="a4"/>
          <w:rFonts w:ascii="Arial" w:hAnsi="Arial" w:cs="Arial"/>
          <w:color w:val="382E2C"/>
        </w:rPr>
        <w:t>Информация  о ранее  проведенных аукционах</w:t>
      </w:r>
    </w:p>
    <w:p w:rsidR="00AD73E3" w:rsidRDefault="00AD73E3" w:rsidP="00AD73E3">
      <w:pPr>
        <w:pStyle w:val="a3"/>
        <w:spacing w:before="0" w:beforeAutospacing="0" w:after="0" w:afterAutospacing="0"/>
        <w:jc w:val="center"/>
        <w:rPr>
          <w:rFonts w:ascii="Arial" w:hAnsi="Arial" w:cs="Arial"/>
          <w:color w:val="382E2C"/>
        </w:rPr>
      </w:pPr>
      <w:r>
        <w:rPr>
          <w:rStyle w:val="a4"/>
          <w:rFonts w:ascii="Arial" w:hAnsi="Arial" w:cs="Arial"/>
          <w:color w:val="382E2C"/>
        </w:rPr>
        <w:t xml:space="preserve">и планируемом </w:t>
      </w:r>
      <w:proofErr w:type="gramStart"/>
      <w:r>
        <w:rPr>
          <w:rStyle w:val="a4"/>
          <w:rFonts w:ascii="Arial" w:hAnsi="Arial" w:cs="Arial"/>
          <w:color w:val="382E2C"/>
        </w:rPr>
        <w:t>проведении</w:t>
      </w:r>
      <w:proofErr w:type="gramEnd"/>
      <w:r>
        <w:rPr>
          <w:rStyle w:val="a4"/>
          <w:rFonts w:ascii="Arial" w:hAnsi="Arial" w:cs="Arial"/>
          <w:color w:val="382E2C"/>
        </w:rPr>
        <w:t xml:space="preserve"> аукционов</w:t>
      </w:r>
    </w:p>
    <w:p w:rsidR="00AD73E3" w:rsidRDefault="00AD73E3" w:rsidP="00AD73E3">
      <w:pPr>
        <w:pStyle w:val="a3"/>
        <w:spacing w:before="0" w:beforeAutospacing="0" w:after="0" w:afterAutospacing="0"/>
        <w:jc w:val="both"/>
        <w:rPr>
          <w:rFonts w:ascii="Arial" w:hAnsi="Arial" w:cs="Arial"/>
          <w:color w:val="382E2C"/>
        </w:rPr>
      </w:pPr>
      <w:r>
        <w:rPr>
          <w:rFonts w:ascii="Arial" w:hAnsi="Arial" w:cs="Arial"/>
          <w:color w:val="382E2C"/>
        </w:rPr>
        <w:t>Информация  о ранее  проведенных аукционах и планируемом проведен</w:t>
      </w:r>
      <w:proofErr w:type="gramStart"/>
      <w:r>
        <w:rPr>
          <w:rFonts w:ascii="Arial" w:hAnsi="Arial" w:cs="Arial"/>
          <w:color w:val="382E2C"/>
        </w:rPr>
        <w:t>ии ау</w:t>
      </w:r>
      <w:proofErr w:type="gramEnd"/>
      <w:r>
        <w:rPr>
          <w:rFonts w:ascii="Arial" w:hAnsi="Arial" w:cs="Arial"/>
          <w:color w:val="382E2C"/>
        </w:rPr>
        <w:t xml:space="preserve">кционов размещена на сайте </w:t>
      </w:r>
      <w:proofErr w:type="spellStart"/>
      <w:r>
        <w:rPr>
          <w:rFonts w:ascii="Arial" w:hAnsi="Arial" w:cs="Arial"/>
          <w:color w:val="382E2C"/>
        </w:rPr>
        <w:t>www.torgi.gov.ru</w:t>
      </w:r>
      <w:proofErr w:type="spellEnd"/>
      <w:r>
        <w:rPr>
          <w:rFonts w:ascii="Arial" w:hAnsi="Arial" w:cs="Arial"/>
          <w:color w:val="382E2C"/>
        </w:rPr>
        <w:t xml:space="preserve"> и официальном сайте администрации Павловского муниципального района в разделе  </w:t>
      </w:r>
      <w:hyperlink r:id="rId4" w:history="1">
        <w:r>
          <w:rPr>
            <w:rStyle w:val="a5"/>
            <w:rFonts w:ascii="Arial" w:hAnsi="Arial" w:cs="Arial"/>
            <w:color w:val="50634F"/>
            <w:bdr w:val="none" w:sz="0" w:space="0" w:color="auto" w:frame="1"/>
          </w:rPr>
          <w:t>«Муниципальные торги»</w:t>
        </w:r>
      </w:hyperlink>
      <w:r>
        <w:rPr>
          <w:rFonts w:ascii="Arial" w:hAnsi="Arial" w:cs="Arial"/>
          <w:color w:val="382E2C"/>
        </w:rPr>
        <w:t>.</w:t>
      </w:r>
    </w:p>
    <w:p w:rsidR="00AD73E3" w:rsidRDefault="00AD73E3" w:rsidP="00AD73E3">
      <w:pPr>
        <w:pStyle w:val="a3"/>
        <w:spacing w:before="0" w:beforeAutospacing="0" w:after="0" w:afterAutospacing="0"/>
        <w:jc w:val="center"/>
        <w:rPr>
          <w:rFonts w:ascii="Arial" w:hAnsi="Arial" w:cs="Arial"/>
          <w:color w:val="382E2C"/>
        </w:rPr>
      </w:pPr>
      <w:r>
        <w:rPr>
          <w:rStyle w:val="a4"/>
          <w:rFonts w:ascii="Arial" w:hAnsi="Arial" w:cs="Arial"/>
          <w:color w:val="382E2C"/>
        </w:rPr>
        <w:t>Информация о предоставлении земельных участков,</w:t>
      </w:r>
    </w:p>
    <w:p w:rsidR="00AD73E3" w:rsidRDefault="00AD73E3" w:rsidP="00AD73E3">
      <w:pPr>
        <w:pStyle w:val="a3"/>
        <w:spacing w:before="0" w:beforeAutospacing="0" w:after="0" w:afterAutospacing="0"/>
        <w:jc w:val="center"/>
        <w:rPr>
          <w:rFonts w:ascii="Arial" w:hAnsi="Arial" w:cs="Arial"/>
          <w:color w:val="382E2C"/>
        </w:rPr>
      </w:pPr>
      <w:r>
        <w:rPr>
          <w:rStyle w:val="a4"/>
          <w:rFonts w:ascii="Arial" w:hAnsi="Arial" w:cs="Arial"/>
          <w:color w:val="382E2C"/>
        </w:rPr>
        <w:t xml:space="preserve">государственная </w:t>
      </w:r>
      <w:proofErr w:type="gramStart"/>
      <w:r>
        <w:rPr>
          <w:rStyle w:val="a4"/>
          <w:rFonts w:ascii="Arial" w:hAnsi="Arial" w:cs="Arial"/>
          <w:color w:val="382E2C"/>
        </w:rPr>
        <w:t>собственность</w:t>
      </w:r>
      <w:proofErr w:type="gramEnd"/>
      <w:r>
        <w:rPr>
          <w:rStyle w:val="a4"/>
          <w:rFonts w:ascii="Arial" w:hAnsi="Arial" w:cs="Arial"/>
          <w:color w:val="382E2C"/>
        </w:rPr>
        <w:t xml:space="preserve"> на которые не разграничена</w:t>
      </w:r>
    </w:p>
    <w:p w:rsidR="00AD73E3" w:rsidRDefault="00AD73E3" w:rsidP="00AD73E3">
      <w:pPr>
        <w:pStyle w:val="a3"/>
        <w:spacing w:before="0" w:beforeAutospacing="0" w:after="0" w:afterAutospacing="0"/>
        <w:jc w:val="center"/>
        <w:rPr>
          <w:rFonts w:ascii="Arial" w:hAnsi="Arial" w:cs="Arial"/>
          <w:color w:val="382E2C"/>
        </w:rPr>
      </w:pPr>
      <w:r>
        <w:rPr>
          <w:rStyle w:val="a4"/>
          <w:rFonts w:ascii="Arial" w:hAnsi="Arial" w:cs="Arial"/>
          <w:color w:val="382E2C"/>
        </w:rPr>
        <w:t xml:space="preserve">и </w:t>
      </w:r>
      <w:proofErr w:type="gramStart"/>
      <w:r>
        <w:rPr>
          <w:rStyle w:val="a4"/>
          <w:rFonts w:ascii="Arial" w:hAnsi="Arial" w:cs="Arial"/>
          <w:color w:val="382E2C"/>
        </w:rPr>
        <w:t>находящихся</w:t>
      </w:r>
      <w:proofErr w:type="gramEnd"/>
      <w:r>
        <w:rPr>
          <w:rStyle w:val="a4"/>
          <w:rFonts w:ascii="Arial" w:hAnsi="Arial" w:cs="Arial"/>
          <w:color w:val="382E2C"/>
        </w:rPr>
        <w:t xml:space="preserve"> в муниципальной собственности</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 </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В соответствии с Земельным кодексом Российской Федерации земельные участки, находящиеся в государственной или муниципальной собственности, для целей строительства могут предоставляться:</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 в собственность бесплатно;</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 в постоянное (бессрочное) пользование;</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 в безвозмездное пользование;</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 в собственность за плату;</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 в аренду.</w:t>
      </w:r>
    </w:p>
    <w:p w:rsidR="00AD73E3" w:rsidRDefault="00AD73E3" w:rsidP="00AD73E3">
      <w:pPr>
        <w:pStyle w:val="a3"/>
        <w:spacing w:before="0" w:beforeAutospacing="0" w:after="0" w:afterAutospacing="0"/>
        <w:jc w:val="both"/>
        <w:rPr>
          <w:rFonts w:ascii="Arial" w:hAnsi="Arial" w:cs="Arial"/>
          <w:color w:val="382E2C"/>
        </w:rPr>
      </w:pPr>
      <w:r>
        <w:rPr>
          <w:rFonts w:ascii="Arial" w:hAnsi="Arial" w:cs="Arial"/>
          <w:color w:val="382E2C"/>
        </w:rPr>
        <w:t xml:space="preserve">Органом, уполномоченным на предоставление земельных участков из земель государственная собственность на которые не разграничена, расположенных на территории </w:t>
      </w:r>
      <w:proofErr w:type="gramStart"/>
      <w:r>
        <w:rPr>
          <w:rFonts w:ascii="Arial" w:hAnsi="Arial" w:cs="Arial"/>
          <w:color w:val="382E2C"/>
        </w:rPr>
        <w:t>Павловского</w:t>
      </w:r>
      <w:proofErr w:type="gramEnd"/>
      <w:r>
        <w:rPr>
          <w:rFonts w:ascii="Arial" w:hAnsi="Arial" w:cs="Arial"/>
          <w:color w:val="382E2C"/>
        </w:rPr>
        <w:t xml:space="preserve"> района, является </w:t>
      </w:r>
      <w:r>
        <w:rPr>
          <w:rStyle w:val="a4"/>
          <w:rFonts w:ascii="Arial" w:hAnsi="Arial" w:cs="Arial"/>
          <w:color w:val="382E2C"/>
        </w:rPr>
        <w:t>администрация Павловского муниципального района.</w:t>
      </w:r>
    </w:p>
    <w:p w:rsidR="00AD73E3" w:rsidRDefault="00AD73E3" w:rsidP="00AD73E3">
      <w:pPr>
        <w:pStyle w:val="a3"/>
        <w:spacing w:before="0" w:beforeAutospacing="0" w:after="0" w:afterAutospacing="0"/>
        <w:jc w:val="both"/>
        <w:rPr>
          <w:rFonts w:ascii="Arial" w:hAnsi="Arial" w:cs="Arial"/>
          <w:color w:val="382E2C"/>
        </w:rPr>
      </w:pPr>
      <w:r>
        <w:rPr>
          <w:rFonts w:ascii="Arial" w:hAnsi="Arial" w:cs="Arial"/>
          <w:color w:val="382E2C"/>
        </w:rPr>
        <w:t>Организацию предоставления муниципальных услуг в сфере земельных отношений осуществляет </w:t>
      </w:r>
      <w:r>
        <w:rPr>
          <w:rStyle w:val="a4"/>
          <w:rFonts w:ascii="Arial" w:hAnsi="Arial" w:cs="Arial"/>
          <w:color w:val="382E2C"/>
        </w:rPr>
        <w:t>муниципальный отдел по управлению муниципальным имуществом администрации Павловского муниципального района (МОУМИ).</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Отношения, возникающие между заявителями, администрацией Павловского муниципального района Воронежской области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(МФЦ) при принятии решений о предоставлении в собственность бесплатно, за плату, аренду,  постоянное (бессрочное) пользование, безвозмездное пользование земельных участков, расположенных на территории сельских поселений Павловского муниципального района, а также определение порядка, сроков и последовательности</w:t>
      </w:r>
      <w:proofErr w:type="gramEnd"/>
      <w:r>
        <w:rPr>
          <w:rFonts w:ascii="Arial" w:hAnsi="Arial" w:cs="Arial"/>
          <w:color w:val="382E2C"/>
        </w:rPr>
        <w:t xml:space="preserve"> выполнения административных действий (процедур) при предоставлении муниципальных услуг, установлены административными регламентами, утвержденными в установленном порядке и  опубликованными в муниципальной газете «Павловский муниципальный вестник».</w:t>
      </w:r>
    </w:p>
    <w:p w:rsidR="00AD73E3" w:rsidRDefault="00AD73E3" w:rsidP="00AD73E3">
      <w:pPr>
        <w:pStyle w:val="a3"/>
        <w:spacing w:before="0" w:beforeAutospacing="0" w:after="0" w:afterAutospacing="0"/>
        <w:jc w:val="both"/>
        <w:rPr>
          <w:rFonts w:ascii="Arial" w:hAnsi="Arial" w:cs="Arial"/>
          <w:color w:val="382E2C"/>
        </w:rPr>
      </w:pPr>
      <w:r>
        <w:rPr>
          <w:rFonts w:ascii="Arial" w:hAnsi="Arial" w:cs="Arial"/>
          <w:color w:val="382E2C"/>
        </w:rPr>
        <w:t xml:space="preserve">Данные регламенты  также размещены на официальном сайте администрации </w:t>
      </w:r>
      <w:proofErr w:type="gramStart"/>
      <w:r>
        <w:rPr>
          <w:rFonts w:ascii="Arial" w:hAnsi="Arial" w:cs="Arial"/>
          <w:color w:val="382E2C"/>
        </w:rPr>
        <w:t>Павловского</w:t>
      </w:r>
      <w:proofErr w:type="gramEnd"/>
      <w:r>
        <w:rPr>
          <w:rFonts w:ascii="Arial" w:hAnsi="Arial" w:cs="Arial"/>
          <w:color w:val="382E2C"/>
        </w:rPr>
        <w:t xml:space="preserve"> муниципального района в разделе  </w:t>
      </w:r>
      <w:hyperlink r:id="rId5" w:history="1">
        <w:r>
          <w:rPr>
            <w:rStyle w:val="a5"/>
            <w:rFonts w:ascii="Arial" w:hAnsi="Arial" w:cs="Arial"/>
            <w:color w:val="50634F"/>
            <w:bdr w:val="none" w:sz="0" w:space="0" w:color="auto" w:frame="1"/>
          </w:rPr>
          <w:t>«Муниципальные услуги»</w:t>
        </w:r>
      </w:hyperlink>
      <w:r>
        <w:rPr>
          <w:rFonts w:ascii="Arial" w:hAnsi="Arial" w:cs="Arial"/>
          <w:color w:val="382E2C"/>
        </w:rPr>
        <w:t>.</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w:t>
      </w:r>
      <w:r>
        <w:rPr>
          <w:rFonts w:ascii="Arial" w:hAnsi="Arial" w:cs="Arial"/>
          <w:color w:val="382E2C"/>
        </w:rPr>
        <w:lastRenderedPageBreak/>
        <w:t>гражданин использовал такой земельный участок в указанный период в соответствии с установленным разрешенным использованием;</w:t>
      </w:r>
      <w:proofErr w:type="gramEnd"/>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Pr>
          <w:rFonts w:ascii="Arial" w:hAnsi="Arial" w:cs="Arial"/>
          <w:color w:val="382E2C"/>
        </w:rPr>
        <w:t xml:space="preserve"> законом субъекта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гражданам, имеющим трех и более детей, в случае и в порядке, которые установлены Законом Воронежской области от 13.05.2008№ 25-ОЗ  «О регулировании земельных отношений на территории Воронежской области».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и  Законом Воронежской области от 13.05.2008 № 25-ОЗ  «О регулировании земельных отношений на территории Воронежской области»;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в соответствии с Федеральным законом от 24 июля 2008 года № 161-ФЗ «О содействии развитию жилищного строительства».</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исключительно:</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органам государственной власти и органам местного самоуправления;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государственным и муниципальным учреждениям (бюджетным, казенным, автономным);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казенным предприятиям;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центрам исторического наследия президентов Российской Федерации, прекративших исполнение своих полномочий.</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xml:space="preserve">—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w:t>
      </w:r>
      <w:r>
        <w:rPr>
          <w:rFonts w:ascii="Arial" w:hAnsi="Arial" w:cs="Arial"/>
          <w:color w:val="382E2C"/>
        </w:rPr>
        <w:lastRenderedPageBreak/>
        <w:t>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земельных участков, образованных из земельного участка, предоставленного некоммерческой организации, созданной гражданами, для ведения садоводства, дачного хозяйства (за исключением земельных участков, отнесенных к имуществу общего пользования), членам этой некоммерческой организации;</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земельных участков, находящихся в постоянном (бессрочном) пользовании юридических лиц, указанным юридическим лицам, за исключением: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1) органов государственной власти и органов местного самоуправления;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2) государственным и муниципальным учреждениям (бюджетным, казенным, автономным);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3) казенным предприятиям;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4) центрам исторического наследия президентов Российской Федерации, прекративших исполнение своих полномочий;</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если этим гражданином или этим юридическим лицом</w:t>
      </w:r>
      <w:proofErr w:type="gramEnd"/>
      <w:r>
        <w:rPr>
          <w:rFonts w:ascii="Arial" w:hAnsi="Arial" w:cs="Arial"/>
          <w:color w:val="382E2C"/>
        </w:rPr>
        <w:t xml:space="preserve"> заявление о заключении договора купли-продажи такого земельного участка без проведения торгов подано до дня </w:t>
      </w:r>
      <w:proofErr w:type="gramStart"/>
      <w:r>
        <w:rPr>
          <w:rFonts w:ascii="Arial" w:hAnsi="Arial" w:cs="Arial"/>
          <w:color w:val="382E2C"/>
        </w:rPr>
        <w:t>истечения срока указанного договора аренды земельного участка</w:t>
      </w:r>
      <w:proofErr w:type="gramEnd"/>
      <w:r>
        <w:rPr>
          <w:rFonts w:ascii="Arial" w:hAnsi="Arial" w:cs="Arial"/>
          <w:color w:val="382E2C"/>
        </w:rPr>
        <w:t>;</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lastRenderedPageBreak/>
        <w:t>Земельные участки, находящиеся в государственной или муниципальной собственности, могут быть предоставлены в безвозмездное пользование:</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 На срок до одного года: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1) органам государственной власти и органам местного самоуправления;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2) государственным и муниципальным учреждениям (бюджетным, казенным, автономным);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3) казенным предприятиям;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4) центрам исторического наследия президентов Российской Федерации, прекративших исполнение своих полномочий;</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в виде служебных наделов работникам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установленных законодательством Российской Федерации и законодательством субъектов Российской Федерации, на срок трудового договора, заключенного между работником и организацией;</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-религиозным организациям для размещения зданий, сооружений религиозного или благотворительного назначения на срок до десяти лет;</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w:t>
      </w:r>
      <w:proofErr w:type="gramEnd"/>
      <w:r>
        <w:rPr>
          <w:rFonts w:ascii="Arial" w:hAnsi="Arial" w:cs="Arial"/>
          <w:color w:val="382E2C"/>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lastRenderedPageBreak/>
        <w:t>— некоммерческим организациям, созданным гражданами, для ведения садоводства на срок не более чем пять лет;</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w:t>
      </w:r>
      <w:proofErr w:type="gramEnd"/>
      <w:r>
        <w:rPr>
          <w:rFonts w:ascii="Arial" w:hAnsi="Arial" w:cs="Arial"/>
          <w:color w:val="382E2C"/>
        </w:rPr>
        <w:t xml:space="preserve"> этих работ и оказания этих услуг необходимо предоставление земельного участка, на срок исполнения указанного контракта;</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лицу, право безвозмездного </w:t>
      </w:r>
      <w:proofErr w:type="gramStart"/>
      <w:r>
        <w:rPr>
          <w:rFonts w:ascii="Arial" w:hAnsi="Arial" w:cs="Arial"/>
          <w:color w:val="382E2C"/>
        </w:rPr>
        <w:t>пользования</w:t>
      </w:r>
      <w:proofErr w:type="gramEnd"/>
      <w:r>
        <w:rPr>
          <w:rFonts w:ascii="Arial" w:hAnsi="Arial" w:cs="Arial"/>
          <w:color w:val="382E2C"/>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лицу в случае и в порядке, которые предусмотрены Федеральным законом от 24 июля 2008 года № 161-ФЗ «О содействии развитию жилищного строительства»;</w:t>
      </w: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t>Предоставление в аренду земельного участка, находящегося в государственной или муниципальной собственности,  соответствии с основным видом разрешенного использования которых предусмотрено строительство зданий, сооружений проводится на аукционе за исключением: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юридическим лицам в соответствии с указом или распоряжением Президента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w:t>
      </w:r>
      <w:r>
        <w:rPr>
          <w:rFonts w:ascii="Arial" w:hAnsi="Arial" w:cs="Arial"/>
          <w:color w:val="382E2C"/>
        </w:rPr>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ascii="Arial" w:hAnsi="Arial" w:cs="Arial"/>
          <w:color w:val="382E2C"/>
        </w:rPr>
        <w:t>электро</w:t>
      </w:r>
      <w:proofErr w:type="spellEnd"/>
      <w:r>
        <w:rPr>
          <w:rFonts w:ascii="Arial" w:hAnsi="Arial" w:cs="Arial"/>
          <w:color w:val="382E2C"/>
        </w:rPr>
        <w:t>-, тепл</w:t>
      </w:r>
      <w:proofErr w:type="gramStart"/>
      <w:r>
        <w:rPr>
          <w:rFonts w:ascii="Arial" w:hAnsi="Arial" w:cs="Arial"/>
          <w:color w:val="382E2C"/>
        </w:rPr>
        <w:t>о-</w:t>
      </w:r>
      <w:proofErr w:type="gramEnd"/>
      <w:r>
        <w:rPr>
          <w:rFonts w:ascii="Arial" w:hAnsi="Arial" w:cs="Arial"/>
          <w:color w:val="382E2C"/>
        </w:rPr>
        <w:t xml:space="preserve">, </w:t>
      </w:r>
      <w:proofErr w:type="spellStart"/>
      <w:r>
        <w:rPr>
          <w:rFonts w:ascii="Arial" w:hAnsi="Arial" w:cs="Arial"/>
          <w:color w:val="382E2C"/>
        </w:rPr>
        <w:t>газо</w:t>
      </w:r>
      <w:proofErr w:type="spellEnd"/>
      <w:r>
        <w:rPr>
          <w:rFonts w:ascii="Arial" w:hAnsi="Arial" w:cs="Arial"/>
          <w:color w:val="382E2C"/>
        </w:rPr>
        <w:t>- и водоснабжения, водоотведения, связи, нефтепроводов, объектов федерального, регионального или местного значения;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находящегося в постоянном (бессрочном) пользовании юридических лиц, этим землепользователям, за исключением: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1) органов государственной власти и органов местного самоуправления;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2) государственным и муниципальным учреждениям (бюджетным, казенным, автономным);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3) казенным предприятиям;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lastRenderedPageBreak/>
        <w:t>4) центрам исторического наследия президентов Российской Федерации, прекративших исполнение своих полномочий;</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образованного в границах застроенной территории, лицу, с которым заключен договор о развитии застроенной территории;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w:t>
      </w:r>
      <w:proofErr w:type="gramStart"/>
      <w:r>
        <w:rPr>
          <w:rFonts w:ascii="Arial" w:hAnsi="Arial" w:cs="Arial"/>
          <w:color w:val="382E2C"/>
        </w:rPr>
        <w:t>с</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Pr>
          <w:rFonts w:ascii="Arial" w:hAnsi="Arial" w:cs="Arial"/>
          <w:color w:val="382E2C"/>
        </w:rPr>
        <w:t>нужд</w:t>
      </w:r>
      <w:proofErr w:type="gramEnd"/>
      <w:r>
        <w:rPr>
          <w:rFonts w:ascii="Arial" w:hAnsi="Arial" w:cs="Arial"/>
          <w:color w:val="382E2C"/>
        </w:rPr>
        <w:t xml:space="preserve"> либо ограничен в обороте;</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lastRenderedPageBreak/>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Arial" w:hAnsi="Arial" w:cs="Arial"/>
          <w:color w:val="382E2C"/>
        </w:rPr>
        <w:t>муниципально-частном</w:t>
      </w:r>
      <w:proofErr w:type="spellEnd"/>
      <w:r>
        <w:rPr>
          <w:rFonts w:ascii="Arial" w:hAnsi="Arial" w:cs="Arial"/>
          <w:color w:val="382E2C"/>
        </w:rPr>
        <w:t xml:space="preserve"> партнерстве, лицу, с которым заключены указанные соглашения;</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Pr>
          <w:rFonts w:ascii="Arial" w:hAnsi="Arial" w:cs="Arial"/>
          <w:color w:val="382E2C"/>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Pr>
          <w:rFonts w:ascii="Arial" w:hAnsi="Arial" w:cs="Arial"/>
          <w:color w:val="382E2C"/>
        </w:rPr>
        <w:t>и</w:t>
      </w:r>
      <w:proofErr w:type="gramEnd"/>
      <w:r>
        <w:rPr>
          <w:rFonts w:ascii="Arial" w:hAnsi="Arial" w:cs="Arial"/>
          <w:color w:val="382E2C"/>
        </w:rPr>
        <w:t xml:space="preserve"> о месте размещения которых приняты Правительством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земельного участка в соответствии с Федеральным законом от 24 июля 2008 года № 161-ФЗ «О содействии развитию жилищного строительства».</w:t>
      </w:r>
    </w:p>
    <w:p w:rsidR="00AD73E3" w:rsidRDefault="00AD73E3" w:rsidP="00AD73E3">
      <w:pPr>
        <w:pStyle w:val="a3"/>
        <w:spacing w:before="0" w:beforeAutospacing="0" w:after="0" w:afterAutospacing="0"/>
        <w:jc w:val="both"/>
        <w:rPr>
          <w:rStyle w:val="a4"/>
          <w:rFonts w:ascii="Arial" w:hAnsi="Arial" w:cs="Arial"/>
          <w:color w:val="382E2C"/>
        </w:rPr>
      </w:pPr>
    </w:p>
    <w:p w:rsidR="00AD73E3" w:rsidRDefault="00AD73E3" w:rsidP="00AD73E3">
      <w:pPr>
        <w:pStyle w:val="a3"/>
        <w:spacing w:before="0" w:beforeAutospacing="0" w:after="0" w:afterAutospacing="0"/>
        <w:jc w:val="both"/>
        <w:rPr>
          <w:rStyle w:val="a4"/>
          <w:rFonts w:ascii="Arial" w:hAnsi="Arial" w:cs="Arial"/>
          <w:color w:val="382E2C"/>
        </w:rPr>
      </w:pPr>
    </w:p>
    <w:p w:rsidR="00AD73E3" w:rsidRDefault="00AD73E3" w:rsidP="00AD73E3">
      <w:pPr>
        <w:pStyle w:val="a3"/>
        <w:spacing w:before="0" w:beforeAutospacing="0" w:after="0" w:afterAutospacing="0"/>
        <w:jc w:val="both"/>
        <w:rPr>
          <w:rStyle w:val="a4"/>
          <w:rFonts w:ascii="Arial" w:hAnsi="Arial" w:cs="Arial"/>
          <w:color w:val="382E2C"/>
        </w:rPr>
      </w:pPr>
    </w:p>
    <w:p w:rsidR="00AD73E3" w:rsidRDefault="00AD73E3" w:rsidP="00AD73E3">
      <w:pPr>
        <w:pStyle w:val="a3"/>
        <w:spacing w:before="0" w:beforeAutospacing="0" w:after="0" w:afterAutospacing="0"/>
        <w:jc w:val="both"/>
        <w:rPr>
          <w:rFonts w:ascii="Arial" w:hAnsi="Arial" w:cs="Arial"/>
          <w:color w:val="382E2C"/>
        </w:rPr>
      </w:pPr>
      <w:r>
        <w:rPr>
          <w:rStyle w:val="a4"/>
          <w:rFonts w:ascii="Arial" w:hAnsi="Arial" w:cs="Arial"/>
          <w:color w:val="382E2C"/>
        </w:rPr>
        <w:lastRenderedPageBreak/>
        <w:t>Предоставление земельных участков без торгов осуществляется в следующем порядке:</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подготовка схемы расположения земельного участка в случае, если земельный участок предстоит </w:t>
      </w:r>
      <w:proofErr w:type="gramStart"/>
      <w:r>
        <w:rPr>
          <w:rFonts w:ascii="Arial" w:hAnsi="Arial" w:cs="Arial"/>
          <w:color w:val="382E2C"/>
        </w:rPr>
        <w:t>образовать и не утвержден</w:t>
      </w:r>
      <w:proofErr w:type="gramEnd"/>
      <w:r>
        <w:rPr>
          <w:rFonts w:ascii="Arial" w:hAnsi="Arial" w:cs="Arial"/>
          <w:color w:val="382E2C"/>
        </w:rPr>
        <w:t xml:space="preserve"> проект межевания территории, в границах которой предстоит образовать такой земельный участок;</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Pr>
          <w:rFonts w:ascii="Arial" w:hAnsi="Arial" w:cs="Arial"/>
          <w:color w:val="382E2C"/>
        </w:rPr>
        <w:t>,</w:t>
      </w:r>
      <w:proofErr w:type="gramEnd"/>
      <w:r>
        <w:rPr>
          <w:rFonts w:ascii="Arial" w:hAnsi="Arial" w:cs="Arial"/>
          <w:color w:val="382E2C"/>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подача в уполномоченный орган гражданином или юридическим лицом заявления о предоставлении земельного участка;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w:t>
      </w:r>
      <w:r>
        <w:rPr>
          <w:rFonts w:ascii="Arial" w:hAnsi="Arial" w:cs="Arial"/>
          <w:color w:val="382E2C"/>
        </w:rPr>
        <w:lastRenderedPageBreak/>
        <w:t>(фермерским) хозяйством его деятельности предоставление осуществляется после опубликования извещения</w:t>
      </w:r>
      <w:proofErr w:type="gramEnd"/>
      <w:r>
        <w:rPr>
          <w:rFonts w:ascii="Arial" w:hAnsi="Arial" w:cs="Arial"/>
          <w:color w:val="382E2C"/>
        </w:rPr>
        <w:t xml:space="preserve">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По истечении тридцати дней со дня опубликования извещения в случае отсутствия заявления иных граждан, крестьянских (фермерских) хозяйств о намерении участвовать в аукционе  осуществляется подготовка проекта договора купли-продажи, или проекта договора аренды земельного участка, или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w:t>
      </w:r>
      <w:proofErr w:type="gramEnd"/>
      <w:r>
        <w:rPr>
          <w:rFonts w:ascii="Arial" w:hAnsi="Arial" w:cs="Arial"/>
          <w:color w:val="382E2C"/>
        </w:rPr>
        <w:t xml:space="preserve"> «О государственной регистрации недвижимости», и направляет их заявителю.</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принимает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лицу, обратившемуся с заявлением.</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Решение о проведен</w:t>
      </w:r>
      <w:proofErr w:type="gramStart"/>
      <w:r>
        <w:rPr>
          <w:rFonts w:ascii="Arial" w:hAnsi="Arial" w:cs="Arial"/>
          <w:color w:val="382E2C"/>
        </w:rPr>
        <w:t>ии ау</w:t>
      </w:r>
      <w:proofErr w:type="gramEnd"/>
      <w:r>
        <w:rPr>
          <w:rFonts w:ascii="Arial" w:hAnsi="Arial" w:cs="Arial"/>
          <w:color w:val="382E2C"/>
        </w:rPr>
        <w:t>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 аукцион), принимается уполномоченным органом, в том числе по заявлениям граждан или юридических лиц.</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В этом случае образование земельного участка и подготовка аукциона осуществляются в следующем порядке:</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roofErr w:type="gramEnd"/>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обращение </w:t>
      </w:r>
      <w:proofErr w:type="gramStart"/>
      <w:r>
        <w:rPr>
          <w:rFonts w:ascii="Arial" w:hAnsi="Arial" w:cs="Arial"/>
          <w:color w:val="382E2C"/>
        </w:rPr>
        <w:t>заинтересованных</w:t>
      </w:r>
      <w:proofErr w:type="gramEnd"/>
      <w:r>
        <w:rPr>
          <w:rFonts w:ascii="Arial" w:hAnsi="Arial" w:cs="Arial"/>
          <w:color w:val="382E2C"/>
        </w:rPr>
        <w:t xml:space="preserve">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При этом в данном заявлении указывается цель использования земельного участка;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w:t>
      </w:r>
      <w:r>
        <w:rPr>
          <w:rFonts w:ascii="Arial" w:hAnsi="Arial" w:cs="Arial"/>
          <w:color w:val="382E2C"/>
        </w:rPr>
        <w:lastRenderedPageBreak/>
        <w:t>утверждении при наличии основании предусмотренных законодательством Российской Федерации;</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AD73E3" w:rsidRDefault="00AD73E3" w:rsidP="00AD73E3">
      <w:pPr>
        <w:pStyle w:val="a3"/>
        <w:spacing w:before="0" w:beforeAutospacing="0" w:after="300" w:afterAutospacing="0"/>
        <w:jc w:val="both"/>
        <w:rPr>
          <w:rFonts w:ascii="Arial" w:hAnsi="Arial" w:cs="Arial"/>
          <w:color w:val="382E2C"/>
        </w:rPr>
      </w:pPr>
      <w:proofErr w:type="gramStart"/>
      <w:r>
        <w:rPr>
          <w:rFonts w:ascii="Arial" w:hAnsi="Arial" w:cs="Arial"/>
          <w:color w:val="382E2C"/>
        </w:rPr>
        <w:t>—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w:t>
      </w:r>
      <w:proofErr w:type="gramEnd"/>
      <w:r>
        <w:rPr>
          <w:rFonts w:ascii="Arial" w:hAnsi="Arial" w:cs="Arial"/>
          <w:color w:val="382E2C"/>
        </w:rPr>
        <w:t xml:space="preserve"> или юридического лица либо заявления кадастрового инженера, выполнившего кадастровые работы в целях образования земельного участка;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xml:space="preserve">— обращение </w:t>
      </w:r>
      <w:proofErr w:type="gramStart"/>
      <w:r>
        <w:rPr>
          <w:rFonts w:ascii="Arial" w:hAnsi="Arial" w:cs="Arial"/>
          <w:color w:val="382E2C"/>
        </w:rPr>
        <w:t>заинтересованных</w:t>
      </w:r>
      <w:proofErr w:type="gramEnd"/>
      <w:r>
        <w:rPr>
          <w:rFonts w:ascii="Arial" w:hAnsi="Arial" w:cs="Arial"/>
          <w:color w:val="382E2C"/>
        </w:rPr>
        <w:t>,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получение технических условий подключения (технологического присоединения) объектов к сетям инженерно-технического обеспечения;</w:t>
      </w:r>
    </w:p>
    <w:p w:rsidR="00AD73E3" w:rsidRDefault="00AD73E3" w:rsidP="00AD73E3">
      <w:pPr>
        <w:pStyle w:val="a3"/>
        <w:spacing w:before="0" w:beforeAutospacing="0" w:after="300" w:afterAutospacing="0"/>
        <w:jc w:val="both"/>
        <w:rPr>
          <w:rFonts w:ascii="Arial" w:hAnsi="Arial" w:cs="Arial"/>
          <w:color w:val="382E2C"/>
        </w:rPr>
      </w:pPr>
      <w:r>
        <w:rPr>
          <w:rFonts w:ascii="Arial" w:hAnsi="Arial" w:cs="Arial"/>
          <w:color w:val="382E2C"/>
        </w:rPr>
        <w:t>— проверка уполномоченным органом наличия или отсутствия оснований, по которым земельный участок не может являться предметом аукциона, и принятие им в срок не более чем два месяца со дня поступления соответствующего заявления решения о проведен</w:t>
      </w:r>
      <w:proofErr w:type="gramStart"/>
      <w:r>
        <w:rPr>
          <w:rFonts w:ascii="Arial" w:hAnsi="Arial" w:cs="Arial"/>
          <w:color w:val="382E2C"/>
        </w:rPr>
        <w:t>ии ау</w:t>
      </w:r>
      <w:proofErr w:type="gramEnd"/>
      <w:r>
        <w:rPr>
          <w:rFonts w:ascii="Arial" w:hAnsi="Arial" w:cs="Arial"/>
          <w:color w:val="382E2C"/>
        </w:rPr>
        <w:t>кциона либо решения об отказе в проведении.</w:t>
      </w:r>
    </w:p>
    <w:p w:rsidR="00B13DD0" w:rsidRDefault="00B13DD0"/>
    <w:sectPr w:rsidR="00B13DD0" w:rsidSect="00B13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3E3"/>
    <w:rsid w:val="00AD73E3"/>
    <w:rsid w:val="00B13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itle">
    <w:name w:val="page-title"/>
    <w:basedOn w:val="a"/>
    <w:rsid w:val="00AD7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7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3E3"/>
    <w:rPr>
      <w:b/>
      <w:bCs/>
    </w:rPr>
  </w:style>
  <w:style w:type="character" w:styleId="a5">
    <w:name w:val="Hyperlink"/>
    <w:basedOn w:val="a0"/>
    <w:uiPriority w:val="99"/>
    <w:semiHidden/>
    <w:unhideWhenUsed/>
    <w:rsid w:val="00AD73E3"/>
    <w:rPr>
      <w:color w:val="0000FF"/>
      <w:u w:val="single"/>
    </w:rPr>
  </w:style>
</w:styles>
</file>

<file path=word/webSettings.xml><?xml version="1.0" encoding="utf-8"?>
<w:webSettings xmlns:r="http://schemas.openxmlformats.org/officeDocument/2006/relationships" xmlns:w="http://schemas.openxmlformats.org/wordprocessingml/2006/main">
  <w:divs>
    <w:div w:id="2017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vlovsk-region.ru/munitsipalnyie-uslugi/perechen-munitsipalnyih-uslug/" TargetMode="External"/><Relationship Id="rId4" Type="http://schemas.openxmlformats.org/officeDocument/2006/relationships/hyperlink" Target="http://pavlovsk-region.ru/category/munitsipalnyie-torgi-zakaz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4310</Words>
  <Characters>24572</Characters>
  <Application>Microsoft Office Word</Application>
  <DocSecurity>0</DocSecurity>
  <Lines>204</Lines>
  <Paragraphs>57</Paragraphs>
  <ScaleCrop>false</ScaleCrop>
  <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Производственный</dc:creator>
  <cp:lastModifiedBy>Производственный</cp:lastModifiedBy>
  <cp:revision>1</cp:revision>
  <dcterms:created xsi:type="dcterms:W3CDTF">2018-02-20T09:45:00Z</dcterms:created>
  <dcterms:modified xsi:type="dcterms:W3CDTF">2018-02-20T09:47:00Z</dcterms:modified>
</cp:coreProperties>
</file>