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4311D5B8"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pacing w:before="240" w:beforeAutospacing="0" w:afterAutospacing="0"/>
        <w:ind w:firstLine="540"/>
        <w:jc w:val="center"/>
        <w:rPr>
          <w:b w:val="1"/>
        </w:rPr>
      </w:pPr>
      <w:r>
        <w:rPr>
          <w:b w:val="1"/>
        </w:rPr>
        <w:t>ВЫПИСКА</w:t>
      </w:r>
    </w:p>
    <w:p>
      <w:pPr>
        <w:pStyle w:val="P1"/>
        <w:spacing w:before="240" w:beforeAutospacing="0" w:afterAutospacing="0"/>
        <w:ind w:firstLine="540"/>
        <w:jc w:val="center"/>
        <w:rPr>
          <w:b w:val="1"/>
        </w:rPr>
      </w:pPr>
      <w:r>
        <w:rPr>
          <w:b w:val="1"/>
        </w:rPr>
        <w:t>из Правил противопожарного режима в РФ</w:t>
      </w:r>
    </w:p>
    <w:p>
      <w:pPr>
        <w:pStyle w:val="P1"/>
        <w:spacing w:before="240" w:beforeAutospacing="0" w:afterAutospacing="0"/>
        <w:ind w:firstLine="540"/>
        <w:jc w:val="both"/>
      </w:pPr>
      <w: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pPr>
        <w:pStyle w:val="P1"/>
        <w:spacing w:before="240" w:beforeAutospacing="0" w:afterAutospacing="0"/>
        <w:ind w:firstLine="540"/>
        <w:jc w:val="both"/>
      </w:pPr>
      <w:r>
        <w:t>участок для выжигания сухой травянистой растительности располагается на расстоянии не менее 50 метров от ближайшего объекта защиты;</w:t>
      </w:r>
    </w:p>
    <w:p>
      <w:pPr>
        <w:pStyle w:val="P1"/>
        <w:spacing w:before="240" w:beforeAutospacing="0" w:afterAutospacing="0"/>
        <w:ind w:firstLine="540"/>
        <w:jc w:val="both"/>
      </w:pPr>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pPr>
        <w:pStyle w:val="P1"/>
        <w:spacing w:before="240" w:beforeAutospacing="0" w:afterAutospacing="0"/>
        <w:ind w:firstLine="540"/>
        <w:jc w:val="both"/>
      </w:pPr>
      <w:r>
        <w:t>на территории, включающей участок для выжигания сухой травянистой растительности, не введен особый противопожарный режим;</w:t>
      </w:r>
    </w:p>
    <w:p>
      <w:pPr>
        <w:pStyle w:val="P1"/>
        <w:spacing w:before="240" w:beforeAutospacing="0" w:afterAutospacing="0"/>
        <w:ind w:firstLine="540"/>
        <w:jc w:val="both"/>
      </w:pPr>
      <w: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pPr>
        <w:pStyle w:val="P1"/>
        <w:spacing w:before="240" w:beforeAutospacing="0" w:afterAutospacing="0"/>
        <w:ind w:firstLine="540"/>
        <w:jc w:val="both"/>
      </w:pPr>
      <w: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pPr>
        <w:pStyle w:val="P1"/>
        <w:spacing w:before="240" w:beforeAutospacing="0" w:afterAutospacing="0"/>
        <w:ind w:firstLine="540"/>
        <w:jc w:val="both"/>
      </w:pPr>
      <w: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pPr>
        <w:pStyle w:val="P1"/>
        <w:spacing w:before="240" w:beforeAutospacing="0" w:afterAutospacing="0"/>
        <w:ind w:firstLine="540"/>
        <w:jc w:val="both"/>
      </w:pPr>
      <w: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pPr>
        <w:pStyle w:val="P1"/>
        <w:spacing w:before="240" w:beforeAutospacing="0" w:afterAutospacing="0"/>
        <w:ind w:firstLine="540"/>
        <w:jc w:val="both"/>
      </w:pPr>
      <w: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pPr>
        <w:pStyle w:val="P1"/>
        <w:ind w:firstLine="540"/>
        <w:jc w:val="both"/>
      </w:pPr>
      <w: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pPr>
        <w:pStyle w:val="P1"/>
        <w:spacing w:before="240" w:beforeAutospacing="0" w:afterAutospacing="0"/>
        <w:ind w:firstLine="540"/>
        <w:jc w:val="both"/>
      </w:pPr>
      <w: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pPr>
        <w:pStyle w:val="P1"/>
        <w:spacing w:before="240" w:beforeAutospacing="0" w:afterAutospacing="0"/>
        <w:ind w:firstLine="540"/>
        <w:jc w:val="both"/>
      </w:pPr>
      <w: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pPr>
        <w:pStyle w:val="P1"/>
        <w:spacing w:before="240" w:beforeAutospacing="0" w:afterAutospacing="0"/>
        <w:ind w:firstLine="540"/>
        <w:jc w:val="both"/>
      </w:pPr>
      <w:r>
        <w:t>Границы уборки указанных территорий определяются границами земельного участка на основании кадастрового или межевого плана.</w:t>
      </w:r>
    </w:p>
    <w:p>
      <w:pPr>
        <w:pStyle w:val="P1"/>
        <w:spacing w:before="240" w:beforeAutospacing="0" w:afterAutospacing="0"/>
        <w:ind w:firstLine="540"/>
        <w:jc w:val="both"/>
      </w:pPr>
      <w: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pPr>
        <w:pStyle w:val="P1"/>
        <w:spacing w:before="240" w:beforeAutospacing="0" w:afterAutospacing="0"/>
        <w:ind w:firstLine="540"/>
        <w:jc w:val="both"/>
      </w:pPr>
      <w: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pPr>
        <w:pStyle w:val="P1"/>
        <w:spacing w:before="240" w:beforeAutospacing="0" w:afterAutospacing="0"/>
        <w:ind w:firstLine="540"/>
        <w:jc w:val="both"/>
      </w:pPr>
      <w: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pPr>
        <w:pStyle w:val="P1"/>
        <w:spacing w:before="240" w:beforeAutospacing="0" w:afterAutospacing="0"/>
        <w:ind w:firstLine="540"/>
        <w:jc w:val="both"/>
      </w:pPr>
      <w: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pPr>
        <w:pStyle w:val="P1"/>
        <w:spacing w:before="240" w:beforeAutospacing="0" w:afterAutospacing="0"/>
        <w:ind w:firstLine="540"/>
        <w:jc w:val="both"/>
      </w:pPr>
      <w: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pPr>
        <w:pStyle w:val="P1"/>
        <w:spacing w:before="240" w:beforeAutospacing="0" w:afterAutospacing="0"/>
        <w:ind w:firstLine="540"/>
        <w:jc w:val="both"/>
      </w:pPr>
      <w: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pPr>
        <w:pStyle w:val="P1"/>
        <w:spacing w:before="240" w:beforeAutospacing="0" w:afterAutospacing="0"/>
        <w:ind w:firstLine="540"/>
        <w:jc w:val="both"/>
      </w:pPr>
      <w: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pPr>
        <w:pStyle w:val="P1"/>
        <w:spacing w:before="240" w:beforeAutospacing="0" w:afterAutospacing="0"/>
        <w:ind w:firstLine="540"/>
        <w:jc w:val="both"/>
      </w:pPr>
      <w: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pPr>
        <w:pStyle w:val="P1"/>
        <w:spacing w:before="240" w:beforeAutospacing="0" w:afterAutospacing="0"/>
        <w:ind w:firstLine="540"/>
        <w:jc w:val="both"/>
      </w:pPr>
      <w: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pPr>
        <w:pStyle w:val="P1"/>
        <w:spacing w:before="240" w:beforeAutospacing="0" w:afterAutospacing="0"/>
        <w:ind w:firstLine="540"/>
        <w:jc w:val="both"/>
      </w:pPr>
      <w: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pPr>
        <w:pStyle w:val="P1"/>
        <w:spacing w:before="240" w:beforeAutospacing="0" w:afterAutospacing="0"/>
        <w:ind w:firstLine="540"/>
        <w:jc w:val="both"/>
      </w:pPr>
      <w: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pPr>
        <w:pStyle w:val="P1"/>
        <w:spacing w:before="240" w:beforeAutospacing="0" w:afterAutospacing="0"/>
        <w:ind w:firstLine="540"/>
        <w:jc w:val="both"/>
      </w:pPr>
      <w: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pPr>
        <w:pStyle w:val="P1"/>
        <w:jc w:val="right"/>
        <w:outlineLvl w:val="1"/>
      </w:pPr>
      <w:bookmarkStart w:id="0" w:name="_GoBack"/>
      <w:bookmarkEnd w:id="0"/>
    </w:p>
    <w:p>
      <w:pPr>
        <w:pStyle w:val="P1"/>
        <w:jc w:val="right"/>
        <w:outlineLvl w:val="1"/>
      </w:pPr>
    </w:p>
    <w:p>
      <w:pPr>
        <w:pStyle w:val="P1"/>
        <w:jc w:val="right"/>
        <w:outlineLvl w:val="1"/>
      </w:pPr>
    </w:p>
    <w:p>
      <w:pPr>
        <w:pStyle w:val="P1"/>
        <w:jc w:val="right"/>
        <w:outlineLvl w:val="1"/>
      </w:pPr>
    </w:p>
    <w:p>
      <w:pPr>
        <w:pStyle w:val="P1"/>
        <w:jc w:val="right"/>
        <w:outlineLvl w:val="1"/>
      </w:pPr>
    </w:p>
    <w:p>
      <w:pPr>
        <w:pStyle w:val="P1"/>
        <w:jc w:val="right"/>
        <w:outlineLvl w:val="1"/>
      </w:pPr>
    </w:p>
    <w:p>
      <w:pPr>
        <w:pStyle w:val="P1"/>
        <w:jc w:val="right"/>
        <w:outlineLvl w:val="1"/>
      </w:pPr>
    </w:p>
    <w:p>
      <w:pPr>
        <w:pStyle w:val="P1"/>
        <w:jc w:val="right"/>
        <w:outlineLvl w:val="1"/>
      </w:pPr>
    </w:p>
    <w:p>
      <w:pPr>
        <w:pStyle w:val="P1"/>
        <w:jc w:val="right"/>
        <w:outlineLvl w:val="1"/>
      </w:pPr>
    </w:p>
    <w:p>
      <w:pPr>
        <w:pStyle w:val="P1"/>
        <w:jc w:val="right"/>
        <w:outlineLvl w:val="1"/>
      </w:pPr>
    </w:p>
    <w:p>
      <w:pPr>
        <w:pStyle w:val="P1"/>
        <w:jc w:val="right"/>
        <w:outlineLvl w:val="1"/>
      </w:pPr>
    </w:p>
    <w:p>
      <w:pPr>
        <w:pStyle w:val="P1"/>
        <w:jc w:val="right"/>
        <w:outlineLvl w:val="1"/>
      </w:pPr>
    </w:p>
    <w:p>
      <w:pPr>
        <w:pStyle w:val="P1"/>
        <w:jc w:val="right"/>
        <w:outlineLvl w:val="1"/>
      </w:pPr>
    </w:p>
    <w:p>
      <w:pPr>
        <w:pStyle w:val="P1"/>
        <w:jc w:val="right"/>
        <w:outlineLvl w:val="1"/>
      </w:pPr>
    </w:p>
    <w:p>
      <w:pPr>
        <w:pStyle w:val="P1"/>
        <w:jc w:val="right"/>
        <w:outlineLvl w:val="1"/>
      </w:pPr>
      <w:r>
        <w:t>Приложение N 4</w:t>
      </w:r>
    </w:p>
    <w:p>
      <w:pPr>
        <w:pStyle w:val="P1"/>
        <w:jc w:val="right"/>
      </w:pPr>
      <w:r>
        <w:t>к Правилам противопожарного</w:t>
      </w:r>
    </w:p>
    <w:p>
      <w:pPr>
        <w:pStyle w:val="P1"/>
        <w:jc w:val="right"/>
      </w:pPr>
      <w:r>
        <w:t>режима в Российской Федерации</w:t>
      </w:r>
    </w:p>
    <w:p>
      <w:pPr>
        <w:pStyle w:val="P1"/>
        <w:jc w:val="both"/>
      </w:pPr>
    </w:p>
    <w:p>
      <w:pPr>
        <w:pStyle w:val="P2"/>
        <w:jc w:val="center"/>
      </w:pPr>
      <w:bookmarkStart w:id="1" w:name="Par1507"/>
      <w:bookmarkEnd w:id="1"/>
      <w:r>
        <w:t>ПОРЯДОК</w:t>
      </w:r>
    </w:p>
    <w:p>
      <w:pPr>
        <w:pStyle w:val="P2"/>
        <w:jc w:val="center"/>
      </w:pPr>
      <w:r>
        <w:t>ИСПОЛЬЗОВАНИЯ ОТКРЫТОГО ОГНЯ И РАЗВЕДЕНИЯ КОСТРОВ НА ЗЕМЛЯХ</w:t>
      </w:r>
    </w:p>
    <w:p>
      <w:pPr>
        <w:pStyle w:val="P2"/>
        <w:jc w:val="center"/>
      </w:pPr>
      <w:r>
        <w:t>СЕЛЬСКОХОЗЯЙСТВЕННОГО НАЗНАЧЕНИЯ, ЗЕМЛЯХ ЗАПАСА И ЗЕМЛЯХ</w:t>
      </w:r>
    </w:p>
    <w:p>
      <w:pPr>
        <w:pStyle w:val="P2"/>
        <w:jc w:val="center"/>
      </w:pPr>
      <w:r>
        <w:t>НАСЕЛЕННЫХ ПУНКТОВ</w:t>
      </w:r>
    </w:p>
    <w:p>
      <w:pPr>
        <w:pStyle w:val="P1"/>
        <w:jc w:val="both"/>
      </w:pPr>
    </w:p>
    <w:p>
      <w:pPr>
        <w:pStyle w:val="P1"/>
        <w:ind w:firstLine="540"/>
        <w:jc w:val="both"/>
      </w:pPr>
      <w: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pPr>
        <w:pStyle w:val="P1"/>
        <w:spacing w:before="240" w:beforeAutospacing="0" w:afterAutospacing="0"/>
        <w:ind w:firstLine="540"/>
        <w:jc w:val="both"/>
      </w:pPr>
      <w:bookmarkStart w:id="2" w:name="Par1513"/>
      <w:bookmarkEnd w:id="2"/>
      <w:r>
        <w:t>2. Использование открытого огня должно осуществляться в специально оборудованных местах при выполнении следующих требований:</w:t>
      </w:r>
    </w:p>
    <w:p>
      <w:pPr>
        <w:pStyle w:val="P1"/>
        <w:spacing w:before="240" w:beforeAutospacing="0" w:afterAutospacing="0"/>
        <w:ind w:firstLine="540"/>
        <w:jc w:val="both"/>
      </w:pPr>
      <w: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pPr>
        <w:pStyle w:val="P1"/>
        <w:spacing w:before="240" w:beforeAutospacing="0" w:afterAutospacing="0"/>
        <w:ind w:firstLine="540"/>
        <w:jc w:val="both"/>
      </w:pPr>
      <w:bookmarkStart w:id="3" w:name="Par1515"/>
      <w:bookmarkEnd w:id="3"/>
      <w: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pPr>
        <w:pStyle w:val="P1"/>
        <w:spacing w:before="240" w:beforeAutospacing="0" w:afterAutospacing="0"/>
        <w:ind w:firstLine="540"/>
        <w:jc w:val="both"/>
      </w:pPr>
      <w:bookmarkStart w:id="4" w:name="Par1516"/>
      <w:bookmarkEnd w:id="4"/>
      <w: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pPr>
        <w:pStyle w:val="P1"/>
        <w:spacing w:before="240" w:beforeAutospacing="0" w:afterAutospacing="0"/>
        <w:ind w:firstLine="540"/>
        <w:jc w:val="both"/>
      </w:pPr>
      <w: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pPr>
        <w:pStyle w:val="P1"/>
        <w:spacing w:before="240" w:beforeAutospacing="0" w:afterAutospacing="0"/>
        <w:ind w:firstLine="540"/>
        <w:jc w:val="both"/>
      </w:pPr>
      <w: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r>
        <w:fldChar w:fldCharType="begin"/>
      </w:r>
      <w:r>
        <w:instrText>HYPERLINK \l "Par1515" \o "б)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instrText>
      </w:r>
      <w:r>
        <w:fldChar w:fldCharType="separate"/>
      </w:r>
      <w:r>
        <w:rPr>
          <w:color w:val="0000FF"/>
        </w:rPr>
        <w:t>подпунктами "б"</w:t>
      </w:r>
      <w:r>
        <w:rPr>
          <w:color w:val="0000FF"/>
        </w:rPr>
        <w:fldChar w:fldCharType="end"/>
      </w:r>
      <w:r>
        <w:t xml:space="preserve"> и </w:t>
      </w:r>
      <w:r>
        <w:fldChar w:fldCharType="begin"/>
      </w:r>
      <w:r>
        <w:instrText>HYPERLINK \l "Par1516" \o "в)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instrText>
      </w:r>
      <w:r>
        <w:fldChar w:fldCharType="separate"/>
      </w:r>
      <w:r>
        <w:rPr>
          <w:color w:val="0000FF"/>
        </w:rPr>
        <w:t>"в" пункта 2</w:t>
      </w:r>
      <w:r>
        <w:rPr>
          <w:color w:val="0000FF"/>
        </w:rPr>
        <w:fldChar w:fldCharType="end"/>
      </w:r>
      <w:r>
        <w:t xml:space="preserve"> порядка, могут быть уменьшены вдвое. При этом устройство противопожарной минерализованной полосы не требуется.</w:t>
      </w:r>
    </w:p>
    <w:p>
      <w:pPr>
        <w:pStyle w:val="P1"/>
        <w:spacing w:before="240" w:beforeAutospacing="0" w:afterAutospacing="0"/>
        <w:ind w:firstLine="540"/>
        <w:jc w:val="both"/>
      </w:pPr>
      <w: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pPr>
        <w:pStyle w:val="P1"/>
        <w:spacing w:before="240" w:beforeAutospacing="0" w:afterAutospacing="0"/>
        <w:ind w:firstLine="540"/>
        <w:jc w:val="both"/>
      </w:pPr>
      <w: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pPr>
        <w:pStyle w:val="P1"/>
        <w:spacing w:before="240" w:beforeAutospacing="0" w:afterAutospacing="0"/>
        <w:ind w:firstLine="540"/>
        <w:jc w:val="both"/>
      </w:pPr>
      <w: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pPr>
        <w:pStyle w:val="P1"/>
        <w:spacing w:before="240" w:beforeAutospacing="0" w:afterAutospacing="0"/>
        <w:ind w:firstLine="540"/>
        <w:jc w:val="both"/>
      </w:pPr>
      <w:r>
        <w:t xml:space="preserve">7. При увеличении диаметра зоны очага горения должны быть выполнены требования </w:t>
      </w:r>
      <w:r>
        <w:fldChar w:fldCharType="begin"/>
      </w:r>
      <w:r>
        <w:instrText>HYPERLINK \l "Par1513" \o "2. Использование открытого огня должно осуществляться в специально оборудованных местах при выполнении следующих требований:"</w:instrText>
      </w:r>
      <w:r>
        <w:fldChar w:fldCharType="separate"/>
      </w:r>
      <w:r>
        <w:rPr>
          <w:color w:val="0000FF"/>
        </w:rPr>
        <w:t>пункта 2</w:t>
      </w:r>
      <w:r>
        <w:rPr>
          <w:color w:val="0000FF"/>
        </w:rPr>
        <w:fldChar w:fldCharType="end"/>
      </w:r>
      <w: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pPr>
        <w:pStyle w:val="P1"/>
        <w:spacing w:before="240" w:beforeAutospacing="0" w:afterAutospacing="0"/>
        <w:ind w:firstLine="540"/>
        <w:jc w:val="both"/>
      </w:pPr>
      <w: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pPr>
        <w:pStyle w:val="P1"/>
        <w:spacing w:before="240" w:beforeAutospacing="0" w:afterAutospacing="0"/>
        <w:ind w:firstLine="540"/>
        <w:jc w:val="both"/>
      </w:pPr>
      <w:r>
        <w:t>9. Использование открытого огня запрещается:</w:t>
      </w:r>
    </w:p>
    <w:p>
      <w:pPr>
        <w:pStyle w:val="P1"/>
        <w:spacing w:before="240" w:beforeAutospacing="0" w:afterAutospacing="0"/>
        <w:ind w:firstLine="540"/>
        <w:jc w:val="both"/>
      </w:pPr>
      <w:r>
        <w:t>на торфяных почвах;</w:t>
      </w:r>
    </w:p>
    <w:p>
      <w:pPr>
        <w:pStyle w:val="P1"/>
        <w:spacing w:before="240" w:beforeAutospacing="0" w:afterAutospacing="0"/>
        <w:ind w:firstLine="540"/>
        <w:jc w:val="both"/>
      </w:pPr>
      <w:r>
        <w:t>при установлении на соответствующей территории особого противопожарного режима;</w:t>
      </w:r>
    </w:p>
    <w:p>
      <w:pPr>
        <w:pStyle w:val="P1"/>
        <w:spacing w:before="240" w:beforeAutospacing="0" w:afterAutospacing="0"/>
        <w:ind w:firstLine="540"/>
        <w:jc w:val="both"/>
      </w:pPr>
      <w: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pPr>
        <w:pStyle w:val="P1"/>
        <w:spacing w:before="240" w:beforeAutospacing="0" w:afterAutospacing="0"/>
        <w:ind w:firstLine="540"/>
        <w:jc w:val="both"/>
      </w:pPr>
      <w:r>
        <w:t>под кронами деревьев хвойных пород;</w:t>
      </w:r>
    </w:p>
    <w:p>
      <w:pPr>
        <w:pStyle w:val="P1"/>
        <w:spacing w:before="240" w:beforeAutospacing="0" w:afterAutospacing="0"/>
        <w:ind w:firstLine="540"/>
        <w:jc w:val="both"/>
      </w:pPr>
      <w: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pPr>
        <w:pStyle w:val="P1"/>
        <w:spacing w:before="240" w:beforeAutospacing="0" w:afterAutospacing="0"/>
        <w:ind w:firstLine="540"/>
        <w:jc w:val="both"/>
      </w:pPr>
      <w: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pPr>
        <w:pStyle w:val="P1"/>
        <w:spacing w:before="240" w:beforeAutospacing="0" w:afterAutospacing="0"/>
        <w:ind w:firstLine="540"/>
        <w:jc w:val="both"/>
      </w:pPr>
      <w:r>
        <w:t>при скорости ветра, превышающей значение 10 метров в секунду.</w:t>
      </w:r>
    </w:p>
    <w:p>
      <w:pPr>
        <w:pStyle w:val="P1"/>
        <w:spacing w:before="240" w:beforeAutospacing="0" w:afterAutospacing="0"/>
        <w:ind w:firstLine="540"/>
        <w:jc w:val="both"/>
      </w:pPr>
      <w:r>
        <w:t>10. В процессе использования открытого огня запрещается:</w:t>
      </w:r>
    </w:p>
    <w:p>
      <w:pPr>
        <w:pStyle w:val="P1"/>
        <w:spacing w:before="240" w:beforeAutospacing="0" w:afterAutospacing="0"/>
        <w:ind w:firstLine="540"/>
        <w:jc w:val="both"/>
      </w:pPr>
      <w: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pPr>
        <w:pStyle w:val="P1"/>
        <w:spacing w:before="240" w:beforeAutospacing="0" w:afterAutospacing="0"/>
        <w:ind w:firstLine="540"/>
        <w:jc w:val="both"/>
      </w:pPr>
      <w:r>
        <w:t>оставлять место очага горения без присмотра до полного прекращения горения (тления);</w:t>
      </w:r>
    </w:p>
    <w:p>
      <w:pPr>
        <w:pStyle w:val="P1"/>
        <w:spacing w:before="240" w:beforeAutospacing="0" w:afterAutospacing="0"/>
        <w:ind w:firstLine="540"/>
        <w:jc w:val="both"/>
      </w:pPr>
      <w:r>
        <w:t>располагать легковоспламеняющиеся и горючие жидкости, а также горючие материалы вблизи очага горения.</w:t>
      </w:r>
    </w:p>
    <w:p>
      <w:pPr>
        <w:pStyle w:val="P1"/>
        <w:spacing w:before="240" w:beforeAutospacing="0" w:afterAutospacing="0"/>
        <w:ind w:firstLine="540"/>
        <w:jc w:val="both"/>
      </w:pPr>
      <w: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ConsPlusNormal"/>
    <w:pPr>
      <w:widowControl w:val="0"/>
      <w:spacing w:lineRule="auto" w:line="240" w:after="0" w:beforeAutospacing="0" w:afterAutospacing="0"/>
    </w:pPr>
    <w:rPr>
      <w:rFonts w:ascii="Times New Roman" w:hAnsi="Times New Roman"/>
      <w:sz w:val="24"/>
    </w:rPr>
  </w:style>
  <w:style w:type="paragraph" w:styleId="P2">
    <w:name w:val="ConsPlusTitle"/>
    <w:pPr>
      <w:widowControl w:val="0"/>
      <w:spacing w:lineRule="auto" w:line="240" w:after="0" w:beforeAutospacing="0" w:afterAutospacing="0"/>
    </w:pPr>
    <w:rPr>
      <w:rFonts w:ascii="Arial" w:hAnsi="Arial"/>
      <w:b w:val="1"/>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